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0B47F" w14:textId="1666467E" w:rsidR="00673C67" w:rsidRPr="000C41C5" w:rsidRDefault="000C41C5">
      <w:pPr>
        <w:rPr>
          <w:b/>
          <w:bCs/>
          <w:sz w:val="28"/>
          <w:szCs w:val="28"/>
        </w:rPr>
      </w:pPr>
      <w:r w:rsidRPr="000C41C5">
        <w:rPr>
          <w:b/>
          <w:bCs/>
          <w:sz w:val="28"/>
          <w:szCs w:val="28"/>
        </w:rPr>
        <w:t>Appendix 1: Prior specification</w:t>
      </w:r>
    </w:p>
    <w:p w14:paraId="78939D7A" w14:textId="77777777" w:rsidR="000C41C5" w:rsidRDefault="000C41C5"/>
    <w:p w14:paraId="32683683" w14:textId="5AFD98E9" w:rsidR="000C41C5" w:rsidRPr="000C41C5" w:rsidRDefault="000C41C5" w:rsidP="0012734E">
      <w:pPr>
        <w:pStyle w:val="Caption"/>
        <w:keepNext/>
        <w:spacing w:after="0"/>
        <w:rPr>
          <w:rFonts w:cstheme="minorHAnsi"/>
          <w:color w:val="auto"/>
          <w:sz w:val="24"/>
          <w:szCs w:val="24"/>
        </w:rPr>
      </w:pPr>
      <w:r w:rsidRPr="000C41C5">
        <w:rPr>
          <w:rFonts w:cstheme="minorHAnsi"/>
          <w:color w:val="auto"/>
          <w:sz w:val="24"/>
          <w:szCs w:val="24"/>
        </w:rPr>
        <w:t>Table S</w:t>
      </w:r>
      <w:r w:rsidRPr="000C41C5">
        <w:rPr>
          <w:rFonts w:cstheme="minorHAnsi"/>
          <w:noProof/>
          <w:color w:val="auto"/>
          <w:sz w:val="24"/>
          <w:szCs w:val="24"/>
        </w:rPr>
        <w:t>1</w:t>
      </w:r>
      <w:r w:rsidRPr="000C41C5">
        <w:rPr>
          <w:rFonts w:cstheme="minorHAnsi"/>
          <w:color w:val="auto"/>
          <w:sz w:val="24"/>
          <w:szCs w:val="24"/>
        </w:rPr>
        <w:t xml:space="preserve">. </w:t>
      </w:r>
      <w:r w:rsidR="0012734E">
        <w:rPr>
          <w:rFonts w:cstheme="minorHAnsi"/>
          <w:color w:val="auto"/>
          <w:sz w:val="24"/>
          <w:szCs w:val="24"/>
        </w:rPr>
        <w:t xml:space="preserve">Prior specification for parameters in migration model.  </w:t>
      </w:r>
      <w:r w:rsidRPr="000C41C5">
        <w:rPr>
          <w:rFonts w:cstheme="minorHAnsi"/>
          <w:color w:val="auto"/>
          <w:sz w:val="24"/>
          <w:szCs w:val="24"/>
        </w:rPr>
        <w:t>Parameter symbols correspond to those in Table 1 in main text of manuscript.</w:t>
      </w:r>
    </w:p>
    <w:tbl>
      <w:tblPr>
        <w:tblStyle w:val="TableGrid"/>
        <w:tblW w:w="0" w:type="auto"/>
        <w:tblInd w:w="0" w:type="dxa"/>
        <w:tblLook w:val="04A0" w:firstRow="1" w:lastRow="0" w:firstColumn="1" w:lastColumn="0" w:noHBand="0" w:noVBand="1"/>
      </w:tblPr>
      <w:tblGrid>
        <w:gridCol w:w="2880"/>
        <w:gridCol w:w="4675"/>
      </w:tblGrid>
      <w:tr w:rsidR="000C41C5" w:rsidRPr="000C41C5" w14:paraId="4E8769F2" w14:textId="77777777" w:rsidTr="000C41C5">
        <w:tc>
          <w:tcPr>
            <w:tcW w:w="2880" w:type="dxa"/>
            <w:tcBorders>
              <w:top w:val="single" w:sz="4" w:space="0" w:color="auto"/>
              <w:left w:val="single" w:sz="4" w:space="0" w:color="auto"/>
              <w:bottom w:val="single" w:sz="4" w:space="0" w:color="auto"/>
              <w:right w:val="single" w:sz="4" w:space="0" w:color="auto"/>
            </w:tcBorders>
            <w:hideMark/>
          </w:tcPr>
          <w:p w14:paraId="63001B00" w14:textId="77777777" w:rsidR="000C41C5" w:rsidRPr="000C41C5" w:rsidRDefault="000C41C5">
            <w:pPr>
              <w:rPr>
                <w:rFonts w:eastAsiaTheme="minorEastAsia" w:cstheme="minorHAnsi"/>
                <w:b/>
              </w:rPr>
            </w:pPr>
            <w:r w:rsidRPr="000C41C5">
              <w:rPr>
                <w:rFonts w:eastAsiaTheme="minorEastAsia" w:cstheme="minorHAnsi"/>
                <w:b/>
              </w:rPr>
              <w:t>Prior</w:t>
            </w:r>
          </w:p>
        </w:tc>
        <w:tc>
          <w:tcPr>
            <w:tcW w:w="4675" w:type="dxa"/>
            <w:tcBorders>
              <w:top w:val="single" w:sz="4" w:space="0" w:color="auto"/>
              <w:left w:val="single" w:sz="4" w:space="0" w:color="auto"/>
              <w:bottom w:val="single" w:sz="4" w:space="0" w:color="auto"/>
              <w:right w:val="single" w:sz="4" w:space="0" w:color="auto"/>
            </w:tcBorders>
            <w:hideMark/>
          </w:tcPr>
          <w:p w14:paraId="1618BFEB" w14:textId="6243CDFB" w:rsidR="000C41C5" w:rsidRPr="000C41C5" w:rsidRDefault="0012734E">
            <w:pPr>
              <w:rPr>
                <w:rFonts w:eastAsiaTheme="minorEastAsia" w:cstheme="minorHAnsi"/>
                <w:b/>
              </w:rPr>
            </w:pPr>
            <w:r>
              <w:rPr>
                <w:rFonts w:eastAsiaTheme="minorEastAsia" w:cstheme="minorHAnsi"/>
                <w:b/>
              </w:rPr>
              <w:t>Description</w:t>
            </w:r>
          </w:p>
        </w:tc>
      </w:tr>
      <w:tr w:rsidR="000C41C5" w14:paraId="3E47C4E0" w14:textId="77777777" w:rsidTr="000C41C5">
        <w:tc>
          <w:tcPr>
            <w:tcW w:w="2880" w:type="dxa"/>
            <w:tcBorders>
              <w:top w:val="single" w:sz="4" w:space="0" w:color="auto"/>
              <w:left w:val="single" w:sz="4" w:space="0" w:color="auto"/>
              <w:bottom w:val="single" w:sz="4" w:space="0" w:color="auto"/>
              <w:right w:val="single" w:sz="4" w:space="0" w:color="auto"/>
            </w:tcBorders>
            <w:vAlign w:val="center"/>
            <w:hideMark/>
          </w:tcPr>
          <w:p w14:paraId="3BF83F02" w14:textId="59BBD13D" w:rsidR="000C41C5" w:rsidRDefault="00000000">
            <w:pPr>
              <w:rPr>
                <w:rFonts w:ascii="Calibri" w:eastAsia="Calibri" w:hAnsi="Calibri"/>
              </w:rPr>
            </w:pPr>
            <m:oMathPara>
              <m:oMath>
                <m:sSub>
                  <m:sSubPr>
                    <m:ctrlPr>
                      <w:rPr>
                        <w:rFonts w:ascii="Cambria Math" w:hAnsi="Cambria Math" w:cstheme="minorHAnsi"/>
                        <w:i/>
                      </w:rPr>
                    </m:ctrlPr>
                  </m:sSubPr>
                  <m:e>
                    <m:r>
                      <w:rPr>
                        <w:rFonts w:ascii="Cambria Math" w:hAnsi="Cambria Math" w:cstheme="minorHAnsi"/>
                      </w:rPr>
                      <m:t>σ</m:t>
                    </m:r>
                    <m:ctrlPr>
                      <w:rPr>
                        <w:rFonts w:ascii="Cambria Math" w:hAnsi="Cambria Math" w:cstheme="minorHAnsi"/>
                        <w:bCs/>
                        <w:i/>
                        <w:iCs/>
                      </w:rPr>
                    </m:ctrlPr>
                  </m:e>
                  <m:sub>
                    <m:r>
                      <w:rPr>
                        <w:rFonts w:ascii="Cambria Math" w:hAnsi="Cambria Math" w:cstheme="minorHAnsi"/>
                      </w:rPr>
                      <m:t>process</m:t>
                    </m:r>
                    <m:ctrlPr>
                      <w:rPr>
                        <w:rFonts w:ascii="Cambria Math" w:hAnsi="Cambria Math" w:cstheme="minorHAnsi"/>
                        <w:bCs/>
                        <w:i/>
                        <w:iCs/>
                      </w:rPr>
                    </m:ctrlPr>
                  </m:sub>
                </m:sSub>
                <m:r>
                  <w:rPr>
                    <w:rFonts w:ascii="Cambria Math" w:hAnsi="Cambria Math" w:cstheme="minorHAnsi"/>
                  </w:rPr>
                  <m:t xml:space="preserve"> ~ Uniform(0,4)</m:t>
                </m:r>
              </m:oMath>
            </m:oMathPara>
          </w:p>
        </w:tc>
        <w:tc>
          <w:tcPr>
            <w:tcW w:w="4675" w:type="dxa"/>
            <w:tcBorders>
              <w:top w:val="single" w:sz="4" w:space="0" w:color="auto"/>
              <w:left w:val="single" w:sz="4" w:space="0" w:color="auto"/>
              <w:bottom w:val="single" w:sz="4" w:space="0" w:color="auto"/>
              <w:right w:val="single" w:sz="4" w:space="0" w:color="auto"/>
            </w:tcBorders>
          </w:tcPr>
          <w:p w14:paraId="3D95FE40" w14:textId="6177486C" w:rsidR="000C41C5" w:rsidRDefault="0012734E">
            <w:pPr>
              <w:rPr>
                <w:rFonts w:eastAsiaTheme="minorEastAsia"/>
                <w:bCs/>
              </w:rPr>
            </w:pPr>
            <w:r>
              <w:rPr>
                <w:rFonts w:eastAsiaTheme="minorEastAsia"/>
                <w:bCs/>
              </w:rPr>
              <w:t>Uniform prior on standard deviation process variance in annual regional population growth (measured on log scale)</w:t>
            </w:r>
          </w:p>
        </w:tc>
      </w:tr>
      <w:tr w:rsidR="000C41C5" w14:paraId="2D85D55F"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7E1464D0" w14:textId="55DBB2F7" w:rsidR="000C41C5" w:rsidRDefault="0012734E">
            <w:pPr>
              <w:rPr>
                <w:rFonts w:ascii="Calibri" w:eastAsia="Calibri" w:hAnsi="Calibri" w:cs="Times New Roman"/>
              </w:rPr>
            </w:pPr>
            <m:oMath>
              <m:r>
                <m:rPr>
                  <m:sty m:val="p"/>
                </m:rPr>
                <w:rPr>
                  <w:rFonts w:ascii="Cambria Math" w:eastAsia="Calibri" w:hAnsi="Cambria Math" w:cs="Times New Roman"/>
                </w:rPr>
                <m:t>log⁡</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j,s</m:t>
                  </m:r>
                </m:sub>
              </m:sSub>
              <m:r>
                <w:rPr>
                  <w:rFonts w:ascii="Cambria Math" w:eastAsia="Calibri" w:hAnsi="Cambria Math" w:cs="Times New Roman"/>
                </w:rPr>
                <m:t>)~ Normal(0,</m:t>
              </m:r>
            </m:oMath>
            <w:r>
              <w:rPr>
                <w:rFonts w:ascii="Calibri" w:eastAsia="Calibri" w:hAnsi="Calibri" w:cs="Times New Roman"/>
              </w:rPr>
              <w:t>4)</w:t>
            </w:r>
          </w:p>
        </w:tc>
        <w:tc>
          <w:tcPr>
            <w:tcW w:w="4675" w:type="dxa"/>
            <w:tcBorders>
              <w:top w:val="single" w:sz="4" w:space="0" w:color="auto"/>
              <w:left w:val="single" w:sz="4" w:space="0" w:color="auto"/>
              <w:bottom w:val="single" w:sz="4" w:space="0" w:color="auto"/>
              <w:right w:val="single" w:sz="4" w:space="0" w:color="auto"/>
            </w:tcBorders>
          </w:tcPr>
          <w:p w14:paraId="42C2CC50" w14:textId="77777777" w:rsidR="000C41C5" w:rsidRDefault="009160E3">
            <w:pPr>
              <w:rPr>
                <w:rFonts w:eastAsiaTheme="minorEastAsia"/>
                <w:bCs/>
              </w:rPr>
            </w:pPr>
            <w:r>
              <w:rPr>
                <w:rFonts w:eastAsiaTheme="minorEastAsia"/>
                <w:bCs/>
              </w:rPr>
              <w:t>Relatively vague n</w:t>
            </w:r>
            <w:r w:rsidR="0012734E">
              <w:rPr>
                <w:rFonts w:eastAsiaTheme="minorEastAsia"/>
                <w:bCs/>
              </w:rPr>
              <w:t xml:space="preserve">ormal prior on </w:t>
            </w:r>
            <w:r>
              <w:rPr>
                <w:rFonts w:eastAsiaTheme="minorEastAsia"/>
                <w:bCs/>
              </w:rPr>
              <w:t xml:space="preserve">log-scale </w:t>
            </w:r>
            <w:r w:rsidR="0012734E">
              <w:rPr>
                <w:rFonts w:eastAsiaTheme="minorEastAsia"/>
                <w:bCs/>
              </w:rPr>
              <w:t>median migration rate from stratum j to migration station s</w:t>
            </w:r>
            <w:r w:rsidR="000A5D09">
              <w:rPr>
                <w:rFonts w:eastAsiaTheme="minorEastAsia"/>
                <w:bCs/>
              </w:rPr>
              <w:t xml:space="preserve">. </w:t>
            </w:r>
          </w:p>
          <w:p w14:paraId="1513DC3C" w14:textId="77777777" w:rsidR="009160E3" w:rsidRDefault="009160E3">
            <w:pPr>
              <w:rPr>
                <w:rFonts w:eastAsiaTheme="minorEastAsia"/>
                <w:bCs/>
              </w:rPr>
            </w:pPr>
          </w:p>
          <w:p w14:paraId="6F6C6C5B" w14:textId="38FCB384" w:rsidR="009160E3" w:rsidRDefault="009160E3">
            <w:pPr>
              <w:rPr>
                <w:rFonts w:eastAsiaTheme="minorEastAsia"/>
                <w:bCs/>
              </w:rPr>
            </w:pPr>
            <w:r>
              <w:rPr>
                <w:rFonts w:eastAsiaTheme="minorEastAsia"/>
                <w:bCs/>
              </w:rPr>
              <w:t xml:space="preserve">A prior with a variance of 4 is considered vague because it is unlikely that </w:t>
            </w:r>
            <m:oMath>
              <m:r>
                <m:rPr>
                  <m:sty m:val="p"/>
                </m:rPr>
                <w:rPr>
                  <w:rFonts w:ascii="Cambria Math" w:eastAsia="Calibri" w:hAnsi="Cambria Math" w:cs="Times New Roman"/>
                </w:rPr>
                <m:t>log⁡</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j,s</m:t>
                  </m:r>
                </m:sub>
              </m:sSub>
              <m:r>
                <w:rPr>
                  <w:rFonts w:ascii="Cambria Math" w:eastAsia="Calibri" w:hAnsi="Cambria Math" w:cs="Times New Roman"/>
                </w:rPr>
                <m:t>)</m:t>
              </m:r>
            </m:oMath>
            <w:r>
              <w:rPr>
                <w:rFonts w:eastAsiaTheme="minorEastAsia"/>
              </w:rPr>
              <w:t xml:space="preserve"> would take values smaller than -4 or larger than +4, given the typical numbers of Blackpoll Warbler that are captured at migration monitoring stations.</w:t>
            </w:r>
          </w:p>
        </w:tc>
      </w:tr>
      <w:tr w:rsidR="000C41C5" w14:paraId="4A23AA0C"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6F7695C8" w14:textId="2F45D9B8" w:rsidR="000C41C5" w:rsidRDefault="00000000">
            <w:pPr>
              <w:rPr>
                <w:rFonts w:eastAsiaTheme="minorEastAsia"/>
              </w:rPr>
            </w:pPr>
            <m:oMathPara>
              <m:oMath>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ρ</m:t>
                    </m:r>
                  </m:sub>
                </m:sSub>
                <m:r>
                  <w:rPr>
                    <w:rFonts w:ascii="Cambria Math" w:eastAsiaTheme="minorEastAsia" w:hAnsi="Cambria Math"/>
                  </w:rPr>
                  <m:t>~Uniform(0,4)</m:t>
                </m:r>
              </m:oMath>
            </m:oMathPara>
          </w:p>
        </w:tc>
        <w:tc>
          <w:tcPr>
            <w:tcW w:w="4675" w:type="dxa"/>
            <w:tcBorders>
              <w:top w:val="single" w:sz="4" w:space="0" w:color="auto"/>
              <w:left w:val="single" w:sz="4" w:space="0" w:color="auto"/>
              <w:bottom w:val="single" w:sz="4" w:space="0" w:color="auto"/>
              <w:right w:val="single" w:sz="4" w:space="0" w:color="auto"/>
            </w:tcBorders>
          </w:tcPr>
          <w:p w14:paraId="11B0E3E6" w14:textId="0BC76E1A" w:rsidR="000C41C5" w:rsidRDefault="0012734E">
            <w:pPr>
              <w:rPr>
                <w:rFonts w:eastAsiaTheme="minorEastAsia"/>
                <w:bCs/>
              </w:rPr>
            </w:pPr>
            <w:r>
              <w:rPr>
                <w:rFonts w:eastAsiaTheme="minorEastAsia"/>
                <w:bCs/>
              </w:rPr>
              <w:t>Uniform prior on standard deviation of year-to-year variation in migration to monitoring stations (measured on log scale)</w:t>
            </w:r>
          </w:p>
        </w:tc>
      </w:tr>
      <w:tr w:rsidR="000C41C5" w14:paraId="6CF32B73"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553F70BD" w14:textId="2DA98EC4" w:rsidR="000C41C5" w:rsidRDefault="00000000">
            <w:pPr>
              <w:rPr>
                <w:rFonts w:ascii="Calibri" w:eastAsia="Calibri" w:hAnsi="Calibri"/>
              </w:rPr>
            </w:pPr>
            <m:oMathPara>
              <m:oMath>
                <m:sSub>
                  <m:sSubPr>
                    <m:ctrlPr>
                      <w:rPr>
                        <w:rFonts w:ascii="Cambria Math" w:hAnsi="Cambria Math" w:cstheme="minorHAnsi"/>
                        <w:bCs/>
                        <w:iCs/>
                      </w:rPr>
                    </m:ctrlPr>
                  </m:sSubPr>
                  <m:e>
                    <m:r>
                      <w:rPr>
                        <w:rFonts w:ascii="Cambria Math" w:hAnsi="Cambria Math" w:cstheme="minorHAnsi"/>
                      </w:rPr>
                      <m:t>µ</m:t>
                    </m:r>
                  </m:e>
                  <m:sub>
                    <m:r>
                      <w:rPr>
                        <w:rFonts w:ascii="Cambria Math" w:hAnsi="Cambria Math" w:cstheme="minorHAnsi"/>
                      </w:rPr>
                      <m:t>s</m:t>
                    </m:r>
                  </m:sub>
                </m:sSub>
                <m:r>
                  <w:rPr>
                    <w:rFonts w:ascii="Cambria Math" w:hAnsi="Cambria Math" w:cstheme="minorHAnsi"/>
                  </w:rPr>
                  <m:t>~Uniform(1,365)</m:t>
                </m:r>
              </m:oMath>
            </m:oMathPara>
          </w:p>
        </w:tc>
        <w:tc>
          <w:tcPr>
            <w:tcW w:w="4675" w:type="dxa"/>
            <w:tcBorders>
              <w:top w:val="single" w:sz="4" w:space="0" w:color="auto"/>
              <w:left w:val="single" w:sz="4" w:space="0" w:color="auto"/>
              <w:bottom w:val="single" w:sz="4" w:space="0" w:color="auto"/>
              <w:right w:val="single" w:sz="4" w:space="0" w:color="auto"/>
            </w:tcBorders>
          </w:tcPr>
          <w:p w14:paraId="7DD4EF74" w14:textId="4AEAFDE8" w:rsidR="000C41C5" w:rsidRDefault="008A3529">
            <w:pPr>
              <w:rPr>
                <w:rFonts w:eastAsiaTheme="minorEastAsia"/>
                <w:bCs/>
              </w:rPr>
            </w:pPr>
            <w:r>
              <w:rPr>
                <w:rFonts w:eastAsiaTheme="minorEastAsia"/>
                <w:bCs/>
              </w:rPr>
              <w:t>Uniform</w:t>
            </w:r>
            <w:r w:rsidR="0012734E">
              <w:rPr>
                <w:rFonts w:eastAsiaTheme="minorEastAsia"/>
                <w:bCs/>
              </w:rPr>
              <w:t xml:space="preserve"> prior on date of peak migration at each monitoring station (measured in days)</w:t>
            </w:r>
          </w:p>
        </w:tc>
      </w:tr>
      <w:tr w:rsidR="000C41C5" w14:paraId="4B11F551"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47D6D3C9" w14:textId="6DF88644" w:rsidR="000C41C5" w:rsidRDefault="00000000">
            <w:pPr>
              <w:rPr>
                <w:rFonts w:ascii="Calibri" w:eastAsia="Calibri" w:hAnsi="Calibri"/>
              </w:rPr>
            </w:pPr>
            <m:oMathPara>
              <m:oMath>
                <m:sSub>
                  <m:sSubPr>
                    <m:ctrlPr>
                      <w:rPr>
                        <w:rFonts w:ascii="Cambria Math" w:hAnsi="Cambria Math" w:cstheme="minorHAnsi"/>
                        <w:bCs/>
                        <w:iCs/>
                      </w:rPr>
                    </m:ctrlPr>
                  </m:sSubPr>
                  <m:e>
                    <m:r>
                      <w:rPr>
                        <w:rFonts w:ascii="Cambria Math" w:hAnsi="Cambria Math" w:cstheme="minorHAnsi"/>
                      </w:rPr>
                      <m:t>σ</m:t>
                    </m:r>
                  </m:e>
                  <m:sub>
                    <m:r>
                      <w:rPr>
                        <w:rFonts w:ascii="Cambria Math" w:hAnsi="Cambria Math" w:cstheme="minorHAnsi"/>
                      </w:rPr>
                      <m:t>s</m:t>
                    </m:r>
                  </m:sub>
                </m:sSub>
                <m:r>
                  <w:rPr>
                    <w:rFonts w:ascii="Cambria Math" w:hAnsi="Cambria Math" w:cstheme="minorHAnsi"/>
                  </w:rPr>
                  <m:t>~ Uniform(0,20)</m:t>
                </m:r>
              </m:oMath>
            </m:oMathPara>
          </w:p>
        </w:tc>
        <w:tc>
          <w:tcPr>
            <w:tcW w:w="4675" w:type="dxa"/>
            <w:tcBorders>
              <w:top w:val="single" w:sz="4" w:space="0" w:color="auto"/>
              <w:left w:val="single" w:sz="4" w:space="0" w:color="auto"/>
              <w:bottom w:val="single" w:sz="4" w:space="0" w:color="auto"/>
              <w:right w:val="single" w:sz="4" w:space="0" w:color="auto"/>
            </w:tcBorders>
          </w:tcPr>
          <w:p w14:paraId="1787AD59" w14:textId="6D51FAC6" w:rsidR="000C41C5" w:rsidRDefault="008A3529">
            <w:pPr>
              <w:rPr>
                <w:rFonts w:eastAsiaTheme="minorEastAsia"/>
                <w:bCs/>
              </w:rPr>
            </w:pPr>
            <w:r>
              <w:rPr>
                <w:rFonts w:eastAsiaTheme="minorEastAsia"/>
                <w:bCs/>
              </w:rPr>
              <w:t xml:space="preserve">Uniform </w:t>
            </w:r>
            <w:r w:rsidR="0012734E">
              <w:rPr>
                <w:rFonts w:eastAsiaTheme="minorEastAsia"/>
                <w:bCs/>
              </w:rPr>
              <w:t>prior on width of migration period (measured in days)</w:t>
            </w:r>
          </w:p>
        </w:tc>
      </w:tr>
      <w:tr w:rsidR="000C41C5" w14:paraId="19F6C3BB"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0AFCF0EE" w14:textId="13E8AC5D" w:rsidR="000C41C5" w:rsidRDefault="00000000">
            <w:pPr>
              <w:rPr>
                <w:rFonts w:ascii="Calibri" w:eastAsia="Calibri" w:hAnsi="Calibri"/>
              </w:rPr>
            </w:pPr>
            <m:oMathPara>
              <m:oMath>
                <m:sSub>
                  <m:sSubPr>
                    <m:ctrlPr>
                      <w:rPr>
                        <w:rFonts w:ascii="Cambria Math" w:hAnsi="Cambria Math" w:cstheme="minorHAnsi"/>
                        <w:i/>
                      </w:rPr>
                    </m:ctrlPr>
                  </m:sSubPr>
                  <m:e>
                    <m:r>
                      <w:rPr>
                        <w:rFonts w:ascii="Cambria Math" w:hAnsi="Cambria Math" w:cstheme="minorHAnsi"/>
                      </w:rPr>
                      <m:t>ω</m:t>
                    </m:r>
                    <m:ctrlPr>
                      <w:rPr>
                        <w:rFonts w:ascii="Cambria Math" w:hAnsi="Cambria Math" w:cstheme="minorHAnsi"/>
                        <w:bCs/>
                        <w:i/>
                        <w:iCs/>
                      </w:rPr>
                    </m:ctrlPr>
                  </m:e>
                  <m:sub>
                    <m:r>
                      <w:rPr>
                        <w:rFonts w:ascii="Cambria Math" w:hAnsi="Cambria Math" w:cstheme="minorHAnsi"/>
                      </w:rPr>
                      <m:t>s</m:t>
                    </m:r>
                    <m:ctrlPr>
                      <w:rPr>
                        <w:rFonts w:ascii="Cambria Math" w:hAnsi="Cambria Math" w:cstheme="minorHAnsi"/>
                        <w:bCs/>
                        <w:i/>
                        <w:iCs/>
                      </w:rPr>
                    </m:ctrlPr>
                  </m:sub>
                </m:sSub>
                <m:r>
                  <w:rPr>
                    <w:rFonts w:ascii="Cambria Math" w:hAnsi="Cambria Math" w:cstheme="minorHAnsi"/>
                  </w:rPr>
                  <m:t xml:space="preserve"> ~ Uniform(0,4)</m:t>
                </m:r>
              </m:oMath>
            </m:oMathPara>
          </w:p>
        </w:tc>
        <w:tc>
          <w:tcPr>
            <w:tcW w:w="4675" w:type="dxa"/>
            <w:tcBorders>
              <w:top w:val="single" w:sz="4" w:space="0" w:color="auto"/>
              <w:left w:val="single" w:sz="4" w:space="0" w:color="auto"/>
              <w:bottom w:val="single" w:sz="4" w:space="0" w:color="auto"/>
              <w:right w:val="single" w:sz="4" w:space="0" w:color="auto"/>
            </w:tcBorders>
          </w:tcPr>
          <w:p w14:paraId="24B39F66" w14:textId="67574300" w:rsidR="000C41C5" w:rsidRDefault="008A3529">
            <w:pPr>
              <w:rPr>
                <w:rFonts w:eastAsiaTheme="minorEastAsia"/>
                <w:bCs/>
              </w:rPr>
            </w:pPr>
            <w:r>
              <w:rPr>
                <w:rFonts w:eastAsiaTheme="minorEastAsia"/>
                <w:bCs/>
              </w:rPr>
              <w:t>Uniform prior on standard deviation of “overdispersion” in daily migration counts at migration monitoring stations (measured on log scale)</w:t>
            </w:r>
          </w:p>
        </w:tc>
      </w:tr>
    </w:tbl>
    <w:p w14:paraId="7B4BD604" w14:textId="77777777" w:rsidR="000C41C5" w:rsidRDefault="000C41C5"/>
    <w:p w14:paraId="1FD38650" w14:textId="77777777" w:rsidR="000C41C5" w:rsidRDefault="000C41C5">
      <w:r>
        <w:br w:type="page"/>
      </w:r>
    </w:p>
    <w:p w14:paraId="6FABFBCE" w14:textId="289330E3" w:rsidR="00526FF2" w:rsidRPr="00BA2B47" w:rsidRDefault="00526FF2" w:rsidP="00526FF2">
      <w:pPr>
        <w:rPr>
          <w:b/>
          <w:bCs/>
          <w:sz w:val="28"/>
          <w:szCs w:val="28"/>
        </w:rPr>
      </w:pPr>
      <w:r w:rsidRPr="00BA2B47">
        <w:rPr>
          <w:b/>
          <w:bCs/>
          <w:sz w:val="28"/>
          <w:szCs w:val="28"/>
        </w:rPr>
        <w:lastRenderedPageBreak/>
        <w:t xml:space="preserve">Appendix 2: </w:t>
      </w:r>
      <w:r>
        <w:rPr>
          <w:b/>
          <w:bCs/>
          <w:sz w:val="28"/>
          <w:szCs w:val="28"/>
        </w:rPr>
        <w:t>Data and Model Assumptions</w:t>
      </w:r>
    </w:p>
    <w:p w14:paraId="49ECB19A" w14:textId="2C88DCDE" w:rsidR="00526FF2" w:rsidRPr="00526FF2" w:rsidRDefault="00526FF2">
      <w:pPr>
        <w:rPr>
          <w:i/>
          <w:iCs/>
        </w:rPr>
      </w:pPr>
      <w:r w:rsidRPr="00526FF2">
        <w:rPr>
          <w:i/>
          <w:iCs/>
        </w:rPr>
        <w:t xml:space="preserve">Information </w:t>
      </w:r>
      <w:r>
        <w:rPr>
          <w:i/>
          <w:iCs/>
        </w:rPr>
        <w:t xml:space="preserve">used </w:t>
      </w:r>
      <w:r w:rsidRPr="00526FF2">
        <w:rPr>
          <w:i/>
          <w:iCs/>
        </w:rPr>
        <w:t>to estimate station “catchment”</w:t>
      </w:r>
    </w:p>
    <w:p w14:paraId="590A6DDC" w14:textId="198DEFD1" w:rsidR="00526FF2" w:rsidRDefault="00526FF2" w:rsidP="00526FF2">
      <w:pPr>
        <w:ind w:firstLine="720"/>
      </w:pPr>
      <w:r>
        <w:t>Feathers were collected from migrating birds at several stations, from which stable hydrogen isotopes were analyzed to assign captured birds to a stratum of origin.  At several additional stations, we assumed the station only sampled birds from a single stratum based on its geographic location and the known migration pathways of Blackpoll Warbler.  The number of birds assigned to geographic strata based on analysis of stable isotopes are shown in Figures S2.1 and S2.2 (along with descriptions of which stations were assumed to only sample birds from a single geographic stratum).</w:t>
      </w:r>
    </w:p>
    <w:p w14:paraId="576DAD89" w14:textId="77777777" w:rsidR="00526FF2" w:rsidRDefault="00526FF2" w:rsidP="00526FF2">
      <w:pPr>
        <w:keepNext/>
        <w:ind w:firstLine="720"/>
      </w:pPr>
      <w:r>
        <w:rPr>
          <w:noProof/>
        </w:rPr>
        <w:drawing>
          <wp:inline distT="0" distB="0" distL="0" distR="0" wp14:anchorId="5963823B" wp14:editId="47F20814">
            <wp:extent cx="5943600" cy="4457700"/>
            <wp:effectExtent l="0" t="0" r="0" b="0"/>
            <wp:docPr id="17189766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6616" name="Picture 1" descr="A screenshot of a graph&#10;&#10;Description automatically generated"/>
                    <pic:cNvPicPr/>
                  </pic:nvPicPr>
                  <pic:blipFill>
                    <a:blip r:embed="rId4"/>
                    <a:stretch>
                      <a:fillRect/>
                    </a:stretch>
                  </pic:blipFill>
                  <pic:spPr>
                    <a:xfrm>
                      <a:off x="0" y="0"/>
                      <a:ext cx="5943600" cy="4457700"/>
                    </a:xfrm>
                    <a:prstGeom prst="rect">
                      <a:avLst/>
                    </a:prstGeom>
                  </pic:spPr>
                </pic:pic>
              </a:graphicData>
            </a:graphic>
          </wp:inline>
        </w:drawing>
      </w:r>
    </w:p>
    <w:p w14:paraId="54B5F4B3" w14:textId="4C86EFAF" w:rsidR="00526FF2" w:rsidRPr="00526FF2" w:rsidRDefault="00526FF2" w:rsidP="00526FF2">
      <w:pPr>
        <w:pStyle w:val="Caption"/>
        <w:rPr>
          <w:i w:val="0"/>
          <w:iCs w:val="0"/>
          <w:color w:val="000000" w:themeColor="text1"/>
          <w:sz w:val="22"/>
          <w:szCs w:val="22"/>
        </w:rPr>
      </w:pPr>
      <w:r w:rsidRPr="00526FF2">
        <w:rPr>
          <w:b/>
          <w:bCs/>
          <w:color w:val="000000" w:themeColor="text1"/>
          <w:sz w:val="22"/>
          <w:szCs w:val="22"/>
        </w:rPr>
        <w:t>Figure S2.</w:t>
      </w:r>
      <w:r w:rsidRPr="00526FF2">
        <w:rPr>
          <w:b/>
          <w:bCs/>
          <w:color w:val="000000" w:themeColor="text1"/>
          <w:sz w:val="22"/>
          <w:szCs w:val="22"/>
        </w:rPr>
        <w:fldChar w:fldCharType="begin"/>
      </w:r>
      <w:r w:rsidRPr="00526FF2">
        <w:rPr>
          <w:b/>
          <w:bCs/>
          <w:color w:val="000000" w:themeColor="text1"/>
          <w:sz w:val="22"/>
          <w:szCs w:val="22"/>
        </w:rPr>
        <w:instrText xml:space="preserve"> SEQ Figure \* ARABIC </w:instrText>
      </w:r>
      <w:r w:rsidRPr="00526FF2">
        <w:rPr>
          <w:b/>
          <w:bCs/>
          <w:color w:val="000000" w:themeColor="text1"/>
          <w:sz w:val="22"/>
          <w:szCs w:val="22"/>
        </w:rPr>
        <w:fldChar w:fldCharType="separate"/>
      </w:r>
      <w:r w:rsidR="00A73800">
        <w:rPr>
          <w:b/>
          <w:bCs/>
          <w:noProof/>
          <w:color w:val="000000" w:themeColor="text1"/>
          <w:sz w:val="22"/>
          <w:szCs w:val="22"/>
        </w:rPr>
        <w:t>1</w:t>
      </w:r>
      <w:r w:rsidRPr="00526FF2">
        <w:rPr>
          <w:b/>
          <w:bCs/>
          <w:color w:val="000000" w:themeColor="text1"/>
          <w:sz w:val="22"/>
          <w:szCs w:val="22"/>
        </w:rPr>
        <w:fldChar w:fldCharType="end"/>
      </w:r>
      <w:r w:rsidRPr="00526FF2">
        <w:rPr>
          <w:b/>
          <w:bCs/>
          <w:color w:val="000000" w:themeColor="text1"/>
          <w:sz w:val="22"/>
          <w:szCs w:val="22"/>
        </w:rPr>
        <w:t>.</w:t>
      </w:r>
      <w:r>
        <w:rPr>
          <w:i w:val="0"/>
          <w:iCs w:val="0"/>
          <w:color w:val="000000" w:themeColor="text1"/>
          <w:sz w:val="22"/>
          <w:szCs w:val="22"/>
        </w:rPr>
        <w:t xml:space="preserve"> Number of birds at each station, in each year, assigned to discrete geographic strata based on analysis of stable isotopes of hydrogen in feather samples during pre-breeding (‘Spring’ migration).  Some stations were also assumed to only capture birds from a single stratum in our statistical analysis, based on their geographic location.</w:t>
      </w:r>
    </w:p>
    <w:p w14:paraId="632B3DEF" w14:textId="77777777" w:rsidR="00526FF2" w:rsidRDefault="00526FF2" w:rsidP="00526FF2">
      <w:pPr>
        <w:keepNext/>
        <w:ind w:firstLine="720"/>
      </w:pPr>
      <w:r>
        <w:rPr>
          <w:noProof/>
        </w:rPr>
        <w:lastRenderedPageBreak/>
        <w:drawing>
          <wp:inline distT="0" distB="0" distL="0" distR="0" wp14:anchorId="09433BAA" wp14:editId="4682616F">
            <wp:extent cx="5943600" cy="4457700"/>
            <wp:effectExtent l="0" t="0" r="0" b="0"/>
            <wp:docPr id="14898901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0121" name="Picture 1" descr="A screenshot of a graph&#10;&#10;Description automatically generated"/>
                    <pic:cNvPicPr/>
                  </pic:nvPicPr>
                  <pic:blipFill>
                    <a:blip r:embed="rId5"/>
                    <a:stretch>
                      <a:fillRect/>
                    </a:stretch>
                  </pic:blipFill>
                  <pic:spPr>
                    <a:xfrm>
                      <a:off x="0" y="0"/>
                      <a:ext cx="5943600" cy="4457700"/>
                    </a:xfrm>
                    <a:prstGeom prst="rect">
                      <a:avLst/>
                    </a:prstGeom>
                  </pic:spPr>
                </pic:pic>
              </a:graphicData>
            </a:graphic>
          </wp:inline>
        </w:drawing>
      </w:r>
    </w:p>
    <w:p w14:paraId="1CDE4CD3" w14:textId="58D1E080" w:rsidR="00526FF2" w:rsidRPr="00526FF2" w:rsidRDefault="00526FF2" w:rsidP="00526FF2">
      <w:pPr>
        <w:pStyle w:val="Caption"/>
        <w:rPr>
          <w:i w:val="0"/>
          <w:iCs w:val="0"/>
          <w:color w:val="000000" w:themeColor="text1"/>
          <w:sz w:val="22"/>
          <w:szCs w:val="22"/>
        </w:rPr>
      </w:pPr>
      <w:r w:rsidRPr="00526FF2">
        <w:rPr>
          <w:b/>
          <w:bCs/>
          <w:color w:val="000000" w:themeColor="text1"/>
          <w:sz w:val="22"/>
          <w:szCs w:val="22"/>
        </w:rPr>
        <w:t>Figure S2.</w:t>
      </w:r>
      <w:r w:rsidRPr="00526FF2">
        <w:rPr>
          <w:b/>
          <w:bCs/>
          <w:color w:val="000000" w:themeColor="text1"/>
          <w:sz w:val="22"/>
          <w:szCs w:val="22"/>
        </w:rPr>
        <w:fldChar w:fldCharType="begin"/>
      </w:r>
      <w:r w:rsidRPr="00526FF2">
        <w:rPr>
          <w:b/>
          <w:bCs/>
          <w:color w:val="000000" w:themeColor="text1"/>
          <w:sz w:val="22"/>
          <w:szCs w:val="22"/>
        </w:rPr>
        <w:instrText xml:space="preserve"> SEQ Figure \* ARABIC </w:instrText>
      </w:r>
      <w:r w:rsidRPr="00526FF2">
        <w:rPr>
          <w:b/>
          <w:bCs/>
          <w:color w:val="000000" w:themeColor="text1"/>
          <w:sz w:val="22"/>
          <w:szCs w:val="22"/>
        </w:rPr>
        <w:fldChar w:fldCharType="separate"/>
      </w:r>
      <w:r w:rsidR="00A73800">
        <w:rPr>
          <w:b/>
          <w:bCs/>
          <w:noProof/>
          <w:color w:val="000000" w:themeColor="text1"/>
          <w:sz w:val="22"/>
          <w:szCs w:val="22"/>
        </w:rPr>
        <w:t>2</w:t>
      </w:r>
      <w:r w:rsidRPr="00526FF2">
        <w:rPr>
          <w:b/>
          <w:bCs/>
          <w:color w:val="000000" w:themeColor="text1"/>
          <w:sz w:val="22"/>
          <w:szCs w:val="22"/>
        </w:rPr>
        <w:fldChar w:fldCharType="end"/>
      </w:r>
      <w:r w:rsidRPr="00526FF2">
        <w:rPr>
          <w:b/>
          <w:bCs/>
          <w:color w:val="000000" w:themeColor="text1"/>
          <w:sz w:val="22"/>
          <w:szCs w:val="22"/>
        </w:rPr>
        <w:t>.</w:t>
      </w:r>
      <w:r>
        <w:rPr>
          <w:color w:val="000000" w:themeColor="text1"/>
          <w:sz w:val="22"/>
          <w:szCs w:val="22"/>
        </w:rPr>
        <w:t xml:space="preserve"> </w:t>
      </w:r>
      <w:r>
        <w:rPr>
          <w:i w:val="0"/>
          <w:iCs w:val="0"/>
          <w:color w:val="000000" w:themeColor="text1"/>
          <w:sz w:val="22"/>
          <w:szCs w:val="22"/>
        </w:rPr>
        <w:t>Number of birds at each station, in each year, assigned to discrete geographic strata based on analysis of stable isotopes of hydrogen in feather samples during post-breeding (‘Fall’ migration).  Some stations were also assumed to only capture birds from a single stratum in our statistical analysis, based on their geographic location.</w:t>
      </w:r>
    </w:p>
    <w:p w14:paraId="306CC48F" w14:textId="1736037C" w:rsidR="00526FF2" w:rsidRPr="00526FF2" w:rsidRDefault="00526FF2" w:rsidP="00526FF2">
      <w:pPr>
        <w:pStyle w:val="Caption"/>
        <w:rPr>
          <w:color w:val="000000" w:themeColor="text1"/>
          <w:sz w:val="22"/>
          <w:szCs w:val="22"/>
        </w:rPr>
      </w:pPr>
    </w:p>
    <w:p w14:paraId="184A40F8" w14:textId="77777777" w:rsidR="00526FF2" w:rsidRDefault="00526FF2"/>
    <w:p w14:paraId="2EBCB624" w14:textId="77777777" w:rsidR="00526FF2" w:rsidRPr="00526FF2" w:rsidRDefault="00526FF2"/>
    <w:p w14:paraId="2E38A9A1" w14:textId="77777777" w:rsidR="00526FF2" w:rsidRDefault="00526FF2">
      <w:pPr>
        <w:rPr>
          <w:b/>
          <w:bCs/>
          <w:sz w:val="28"/>
          <w:szCs w:val="28"/>
        </w:rPr>
      </w:pPr>
      <w:r>
        <w:rPr>
          <w:b/>
          <w:bCs/>
          <w:sz w:val="28"/>
          <w:szCs w:val="28"/>
        </w:rPr>
        <w:br w:type="page"/>
      </w:r>
    </w:p>
    <w:p w14:paraId="4A10800F" w14:textId="42FAE53A" w:rsidR="00BA2B47" w:rsidRPr="00BA2B47" w:rsidRDefault="00BA2B47">
      <w:pPr>
        <w:rPr>
          <w:b/>
          <w:bCs/>
          <w:sz w:val="28"/>
          <w:szCs w:val="28"/>
        </w:rPr>
      </w:pPr>
      <w:r w:rsidRPr="00BA2B47">
        <w:rPr>
          <w:b/>
          <w:bCs/>
          <w:sz w:val="28"/>
          <w:szCs w:val="28"/>
        </w:rPr>
        <w:lastRenderedPageBreak/>
        <w:t xml:space="preserve">Appendix </w:t>
      </w:r>
      <w:r w:rsidR="00526FF2">
        <w:rPr>
          <w:b/>
          <w:bCs/>
          <w:sz w:val="28"/>
          <w:szCs w:val="28"/>
        </w:rPr>
        <w:t>3</w:t>
      </w:r>
      <w:r w:rsidRPr="00BA2B47">
        <w:rPr>
          <w:b/>
          <w:bCs/>
          <w:sz w:val="28"/>
          <w:szCs w:val="28"/>
        </w:rPr>
        <w:t>: Goodness-of-fit</w:t>
      </w:r>
    </w:p>
    <w:p w14:paraId="22F1D1BD" w14:textId="77777777" w:rsidR="00BA2B47" w:rsidRDefault="00BA2B47" w:rsidP="00BA2B47">
      <w:pPr>
        <w:keepNext/>
      </w:pPr>
      <w:r>
        <w:rPr>
          <w:noProof/>
        </w:rPr>
        <w:drawing>
          <wp:inline distT="0" distB="0" distL="0" distR="0" wp14:anchorId="6FA984A0" wp14:editId="50D5C92D">
            <wp:extent cx="5943600" cy="5943600"/>
            <wp:effectExtent l="0" t="0" r="0" b="0"/>
            <wp:docPr id="1776893499"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93499" name="Picture 1" descr="A graph of different types of numbers&#10;&#10;Description automatically generated with medium confidence"/>
                    <pic:cNvPicPr/>
                  </pic:nvPicPr>
                  <pic:blipFill>
                    <a:blip r:embed="rId6"/>
                    <a:stretch>
                      <a:fillRect/>
                    </a:stretch>
                  </pic:blipFill>
                  <pic:spPr>
                    <a:xfrm>
                      <a:off x="0" y="0"/>
                      <a:ext cx="5943600" cy="5943600"/>
                    </a:xfrm>
                    <a:prstGeom prst="rect">
                      <a:avLst/>
                    </a:prstGeom>
                  </pic:spPr>
                </pic:pic>
              </a:graphicData>
            </a:graphic>
          </wp:inline>
        </w:drawing>
      </w:r>
    </w:p>
    <w:p w14:paraId="26902EFC" w14:textId="7A06BA73" w:rsidR="00BA2B47" w:rsidRPr="002B1D88" w:rsidRDefault="00BA2B47" w:rsidP="00BA2B47">
      <w:pPr>
        <w:pStyle w:val="Caption"/>
        <w:rPr>
          <w:color w:val="000000" w:themeColor="text1"/>
          <w:sz w:val="22"/>
          <w:szCs w:val="22"/>
        </w:rPr>
      </w:pPr>
      <w:r w:rsidRPr="002B1D88">
        <w:rPr>
          <w:b/>
          <w:bCs/>
          <w:color w:val="000000" w:themeColor="text1"/>
          <w:sz w:val="22"/>
          <w:szCs w:val="22"/>
        </w:rPr>
        <w:t xml:space="preserve">Figure </w:t>
      </w:r>
      <w:r w:rsidR="002B1D88" w:rsidRPr="002B1D88">
        <w:rPr>
          <w:b/>
          <w:bCs/>
          <w:color w:val="000000" w:themeColor="text1"/>
          <w:sz w:val="22"/>
          <w:szCs w:val="22"/>
        </w:rPr>
        <w:t>S</w:t>
      </w:r>
      <w:r w:rsidR="00526FF2">
        <w:rPr>
          <w:b/>
          <w:bCs/>
          <w:color w:val="000000" w:themeColor="text1"/>
          <w:sz w:val="22"/>
          <w:szCs w:val="22"/>
        </w:rPr>
        <w:t>3</w:t>
      </w:r>
      <w:r w:rsidR="002B1D88" w:rsidRPr="002B1D88">
        <w:rPr>
          <w:b/>
          <w:bCs/>
          <w:color w:val="000000" w:themeColor="text1"/>
          <w:sz w:val="22"/>
          <w:szCs w:val="22"/>
        </w:rPr>
        <w:t>.1.</w:t>
      </w:r>
      <w:r w:rsidR="002B1D88" w:rsidRPr="002B1D88">
        <w:rPr>
          <w:color w:val="000000" w:themeColor="text1"/>
          <w:sz w:val="22"/>
          <w:szCs w:val="22"/>
        </w:rPr>
        <w:t xml:space="preserve">  Comparison of expected (i.e., predicted) total counts each season and observed total counts at each migration monitoring station, during pre-breeding (‘</w:t>
      </w:r>
      <w:r w:rsidR="00526FF2">
        <w:rPr>
          <w:color w:val="000000" w:themeColor="text1"/>
          <w:sz w:val="22"/>
          <w:szCs w:val="22"/>
        </w:rPr>
        <w:t>Spring</w:t>
      </w:r>
      <w:r w:rsidR="002B1D88" w:rsidRPr="002B1D88">
        <w:rPr>
          <w:color w:val="000000" w:themeColor="text1"/>
          <w:sz w:val="22"/>
          <w:szCs w:val="22"/>
        </w:rPr>
        <w:t xml:space="preserve">’) migration.  </w:t>
      </w:r>
    </w:p>
    <w:p w14:paraId="21BF410C" w14:textId="77777777" w:rsidR="00BA2B47" w:rsidRDefault="00BA2B47"/>
    <w:p w14:paraId="5586DEC4" w14:textId="77777777" w:rsidR="00B77EC2" w:rsidRDefault="00B77EC2" w:rsidP="00B77EC2">
      <w:pPr>
        <w:keepNext/>
      </w:pPr>
      <w:r>
        <w:rPr>
          <w:noProof/>
        </w:rPr>
        <w:lastRenderedPageBreak/>
        <w:drawing>
          <wp:inline distT="0" distB="0" distL="0" distR="0" wp14:anchorId="39FC30FA" wp14:editId="3C57B45C">
            <wp:extent cx="5943600" cy="5943600"/>
            <wp:effectExtent l="0" t="0" r="0" b="0"/>
            <wp:docPr id="1070532603"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32603" name="Picture 1" descr="A graph of different types of numbers&#10;&#10;Description automatically generated with medium confidence"/>
                    <pic:cNvPicPr/>
                  </pic:nvPicPr>
                  <pic:blipFill>
                    <a:blip r:embed="rId7"/>
                    <a:stretch>
                      <a:fillRect/>
                    </a:stretch>
                  </pic:blipFill>
                  <pic:spPr>
                    <a:xfrm>
                      <a:off x="0" y="0"/>
                      <a:ext cx="5943600" cy="5943600"/>
                    </a:xfrm>
                    <a:prstGeom prst="rect">
                      <a:avLst/>
                    </a:prstGeom>
                  </pic:spPr>
                </pic:pic>
              </a:graphicData>
            </a:graphic>
          </wp:inline>
        </w:drawing>
      </w:r>
    </w:p>
    <w:p w14:paraId="16365085" w14:textId="1CEBF914" w:rsidR="00B77EC2" w:rsidRPr="002B1D88" w:rsidRDefault="00B77EC2" w:rsidP="00B77EC2">
      <w:pPr>
        <w:pStyle w:val="Caption"/>
        <w:rPr>
          <w:color w:val="000000" w:themeColor="text1"/>
          <w:sz w:val="22"/>
          <w:szCs w:val="22"/>
        </w:rPr>
      </w:pPr>
      <w:r w:rsidRPr="002B1D88">
        <w:rPr>
          <w:b/>
          <w:bCs/>
          <w:color w:val="000000" w:themeColor="text1"/>
          <w:sz w:val="22"/>
          <w:szCs w:val="22"/>
        </w:rPr>
        <w:t>Figure S</w:t>
      </w:r>
      <w:r w:rsidR="00526FF2">
        <w:rPr>
          <w:b/>
          <w:bCs/>
          <w:color w:val="000000" w:themeColor="text1"/>
          <w:sz w:val="22"/>
          <w:szCs w:val="22"/>
        </w:rPr>
        <w:t>3</w:t>
      </w:r>
      <w:r w:rsidRPr="002B1D88">
        <w:rPr>
          <w:b/>
          <w:bCs/>
          <w:color w:val="000000" w:themeColor="text1"/>
          <w:sz w:val="22"/>
          <w:szCs w:val="22"/>
        </w:rPr>
        <w:t>.</w:t>
      </w:r>
      <w:r>
        <w:rPr>
          <w:b/>
          <w:bCs/>
          <w:color w:val="000000" w:themeColor="text1"/>
          <w:sz w:val="22"/>
          <w:szCs w:val="22"/>
        </w:rPr>
        <w:t>2</w:t>
      </w:r>
      <w:r w:rsidRPr="002B1D88">
        <w:rPr>
          <w:b/>
          <w:bCs/>
          <w:color w:val="000000" w:themeColor="text1"/>
          <w:sz w:val="22"/>
          <w:szCs w:val="22"/>
        </w:rPr>
        <w:t>.</w:t>
      </w:r>
      <w:r w:rsidRPr="002B1D88">
        <w:rPr>
          <w:color w:val="000000" w:themeColor="text1"/>
          <w:sz w:val="22"/>
          <w:szCs w:val="22"/>
        </w:rPr>
        <w:t xml:space="preserve">  Comparison of expected (i.e., predicted) total counts each season and observed total counts at each migration monitoring station, during pre-breeding (‘</w:t>
      </w:r>
      <w:r w:rsidR="00526FF2">
        <w:rPr>
          <w:color w:val="000000" w:themeColor="text1"/>
          <w:sz w:val="22"/>
          <w:szCs w:val="22"/>
        </w:rPr>
        <w:t>Fall</w:t>
      </w:r>
      <w:r w:rsidRPr="002B1D88">
        <w:rPr>
          <w:color w:val="000000" w:themeColor="text1"/>
          <w:sz w:val="22"/>
          <w:szCs w:val="22"/>
        </w:rPr>
        <w:t xml:space="preserve">’) migration.  </w:t>
      </w:r>
    </w:p>
    <w:p w14:paraId="48B1210F" w14:textId="77777777" w:rsidR="00BA2B47" w:rsidRDefault="00BA2B47"/>
    <w:p w14:paraId="005FB60A" w14:textId="77777777" w:rsidR="002B1D88" w:rsidRDefault="002B1D88">
      <w:pPr>
        <w:rPr>
          <w:b/>
          <w:bCs/>
          <w:sz w:val="28"/>
          <w:szCs w:val="28"/>
        </w:rPr>
      </w:pPr>
      <w:r>
        <w:rPr>
          <w:b/>
          <w:bCs/>
          <w:sz w:val="28"/>
          <w:szCs w:val="28"/>
        </w:rPr>
        <w:br w:type="page"/>
      </w:r>
    </w:p>
    <w:p w14:paraId="29104F72" w14:textId="78EE32AA" w:rsidR="000C41C5" w:rsidRPr="002B1D88" w:rsidRDefault="000C41C5">
      <w:pPr>
        <w:rPr>
          <w:b/>
          <w:bCs/>
          <w:sz w:val="28"/>
          <w:szCs w:val="28"/>
        </w:rPr>
      </w:pPr>
      <w:r w:rsidRPr="000C41C5">
        <w:rPr>
          <w:b/>
          <w:bCs/>
          <w:sz w:val="28"/>
          <w:szCs w:val="28"/>
        </w:rPr>
        <w:lastRenderedPageBreak/>
        <w:t xml:space="preserve">Appendix </w:t>
      </w:r>
      <w:r w:rsidR="00526FF2">
        <w:rPr>
          <w:b/>
          <w:bCs/>
          <w:sz w:val="28"/>
          <w:szCs w:val="28"/>
        </w:rPr>
        <w:t>4</w:t>
      </w:r>
      <w:r w:rsidRPr="000C41C5">
        <w:rPr>
          <w:b/>
          <w:bCs/>
          <w:sz w:val="28"/>
          <w:szCs w:val="28"/>
        </w:rPr>
        <w:t xml:space="preserve">: </w:t>
      </w:r>
      <w:r w:rsidR="00463333">
        <w:rPr>
          <w:b/>
          <w:bCs/>
          <w:sz w:val="28"/>
          <w:szCs w:val="28"/>
        </w:rPr>
        <w:t>Data and results of a</w:t>
      </w:r>
      <w:r w:rsidRPr="000C41C5">
        <w:rPr>
          <w:b/>
          <w:bCs/>
          <w:sz w:val="28"/>
          <w:szCs w:val="28"/>
        </w:rPr>
        <w:t>nalysis of North American Breeding Bird Survey data</w:t>
      </w:r>
    </w:p>
    <w:p w14:paraId="499FB9C3" w14:textId="5B035824" w:rsidR="000C41C5" w:rsidRDefault="000C41C5">
      <w:r>
        <w:t>Strata and locations of routes contributing data to analysis of the North American Breeding Bird Survey (BBS) are illustrated in Figure S</w:t>
      </w:r>
      <w:r w:rsidR="00526FF2">
        <w:t>4</w:t>
      </w:r>
      <w:r w:rsidR="002B1D88">
        <w:t>.1</w:t>
      </w:r>
      <w:r>
        <w:t>.  In total, Blackpoll Warblers were detected at 226 routes between 2000 and 2018, in 19 analytical strata.</w:t>
      </w:r>
      <w:r w:rsidR="002B1D88">
        <w:t xml:space="preserve">  </w:t>
      </w:r>
    </w:p>
    <w:p w14:paraId="3B6045C1" w14:textId="0731A6BD" w:rsidR="000C41C5" w:rsidRDefault="000C41C5" w:rsidP="000C41C5">
      <w:pPr>
        <w:keepNext/>
      </w:pPr>
      <w:r>
        <w:rPr>
          <w:noProof/>
        </w:rPr>
        <w:drawing>
          <wp:inline distT="0" distB="0" distL="0" distR="0" wp14:anchorId="16D64D8C" wp14:editId="17BF0BCE">
            <wp:extent cx="5943600" cy="4754880"/>
            <wp:effectExtent l="0" t="0" r="0" b="7620"/>
            <wp:docPr id="20484496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964" name="Picture 1" descr="A map of the united states&#10;&#10;Description automatically generated"/>
                    <pic:cNvPicPr/>
                  </pic:nvPicPr>
                  <pic:blipFill>
                    <a:blip r:embed="rId8"/>
                    <a:stretch>
                      <a:fillRect/>
                    </a:stretch>
                  </pic:blipFill>
                  <pic:spPr>
                    <a:xfrm>
                      <a:off x="0" y="0"/>
                      <a:ext cx="5943600" cy="4754880"/>
                    </a:xfrm>
                    <a:prstGeom prst="rect">
                      <a:avLst/>
                    </a:prstGeom>
                  </pic:spPr>
                </pic:pic>
              </a:graphicData>
            </a:graphic>
          </wp:inline>
        </w:drawing>
      </w:r>
    </w:p>
    <w:p w14:paraId="26A0A98A" w14:textId="76BF2302" w:rsidR="000C41C5" w:rsidRPr="002B1D88" w:rsidRDefault="000C41C5" w:rsidP="000C41C5">
      <w:pPr>
        <w:pStyle w:val="Caption"/>
        <w:rPr>
          <w:color w:val="000000" w:themeColor="text1"/>
          <w:sz w:val="22"/>
          <w:szCs w:val="22"/>
        </w:rPr>
      </w:pPr>
      <w:r w:rsidRPr="002B1D88">
        <w:rPr>
          <w:b/>
          <w:bCs/>
          <w:color w:val="000000" w:themeColor="text1"/>
          <w:sz w:val="22"/>
          <w:szCs w:val="22"/>
        </w:rPr>
        <w:t>Figure S</w:t>
      </w:r>
      <w:r w:rsidR="00526FF2">
        <w:rPr>
          <w:b/>
          <w:bCs/>
          <w:color w:val="000000" w:themeColor="text1"/>
          <w:sz w:val="22"/>
          <w:szCs w:val="22"/>
        </w:rPr>
        <w:t>4</w:t>
      </w:r>
      <w:r w:rsidR="002B1D88" w:rsidRPr="002B1D88">
        <w:rPr>
          <w:b/>
          <w:bCs/>
          <w:color w:val="000000" w:themeColor="text1"/>
          <w:sz w:val="22"/>
          <w:szCs w:val="22"/>
        </w:rPr>
        <w:t>.1</w:t>
      </w:r>
      <w:r w:rsidRPr="002B1D88">
        <w:rPr>
          <w:b/>
          <w:bCs/>
          <w:color w:val="000000" w:themeColor="text1"/>
          <w:sz w:val="22"/>
          <w:szCs w:val="22"/>
        </w:rPr>
        <w:t>.</w:t>
      </w:r>
      <w:r w:rsidRPr="002B1D88">
        <w:rPr>
          <w:color w:val="000000" w:themeColor="text1"/>
          <w:sz w:val="22"/>
          <w:szCs w:val="22"/>
        </w:rPr>
        <w:t xml:space="preserve">  Locations of routes contributing to continental trend analysis of Blackpoll Warbler between 2000 and 2018.  USGS analytical strata are overlaid.  </w:t>
      </w:r>
    </w:p>
    <w:p w14:paraId="3B7ADEE5" w14:textId="3B6BC93E" w:rsidR="000C41C5" w:rsidRDefault="00463333" w:rsidP="002B1D88">
      <w:pPr>
        <w:ind w:firstLine="720"/>
      </w:pPr>
      <w:r>
        <w:t>North American Breeding Bird Survey data were analyzed using a ‘first difference’ model, fit using the ‘</w:t>
      </w:r>
      <w:r w:rsidRPr="00463333">
        <w:rPr>
          <w:i/>
          <w:iCs/>
        </w:rPr>
        <w:t>bbsBayes</w:t>
      </w:r>
      <w:r>
        <w:t xml:space="preserve">’ R package described in </w:t>
      </w:r>
      <w:r w:rsidRPr="00E63A5E">
        <w:rPr>
          <w:rFonts w:ascii="Calibri" w:hAnsi="Calibri" w:cs="Calibri"/>
        </w:rPr>
        <w:t xml:space="preserve">Edwards and Smith </w:t>
      </w:r>
      <w:r>
        <w:rPr>
          <w:rFonts w:ascii="Calibri" w:hAnsi="Calibri" w:cs="Calibri"/>
        </w:rPr>
        <w:t>(</w:t>
      </w:r>
      <w:r w:rsidRPr="00E63A5E">
        <w:rPr>
          <w:rFonts w:ascii="Calibri" w:hAnsi="Calibri" w:cs="Calibri"/>
        </w:rPr>
        <w:t>2020</w:t>
      </w:r>
      <w:r>
        <w:rPr>
          <w:rFonts w:ascii="Calibri" w:hAnsi="Calibri" w:cs="Calibri"/>
        </w:rPr>
        <w:t xml:space="preserve">). </w:t>
      </w:r>
      <w:r w:rsidR="000C41C5">
        <w:t>The estimated Blackpoll Warbler continental trajectory for the period of 2000-2018 is illustrated in figure S</w:t>
      </w:r>
      <w:r w:rsidR="00526FF2">
        <w:t>4</w:t>
      </w:r>
      <w:r w:rsidR="002B1D88">
        <w:t>.</w:t>
      </w:r>
      <w:r w:rsidR="00C9407F">
        <w:t>2</w:t>
      </w:r>
      <w:r w:rsidR="000C41C5">
        <w:t>.</w:t>
      </w:r>
    </w:p>
    <w:p w14:paraId="5924C702" w14:textId="77777777" w:rsidR="000C41C5" w:rsidRDefault="000C41C5" w:rsidP="000C41C5">
      <w:pPr>
        <w:keepNext/>
      </w:pPr>
      <w:r>
        <w:rPr>
          <w:noProof/>
        </w:rPr>
        <w:lastRenderedPageBreak/>
        <w:drawing>
          <wp:inline distT="0" distB="0" distL="0" distR="0" wp14:anchorId="69DC4FCB" wp14:editId="466A7490">
            <wp:extent cx="3822700" cy="2867025"/>
            <wp:effectExtent l="0" t="0" r="6350" b="9525"/>
            <wp:docPr id="1071709602" name="Picture 1" descr="A graph of a graph showing the growth of a count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9602" name="Picture 1" descr="A graph of a graph showing the growth of a country&#10;&#10;Description automatically generated with medium confidence"/>
                    <pic:cNvPicPr/>
                  </pic:nvPicPr>
                  <pic:blipFill>
                    <a:blip r:embed="rId9"/>
                    <a:stretch>
                      <a:fillRect/>
                    </a:stretch>
                  </pic:blipFill>
                  <pic:spPr>
                    <a:xfrm>
                      <a:off x="0" y="0"/>
                      <a:ext cx="3824352" cy="2868264"/>
                    </a:xfrm>
                    <a:prstGeom prst="rect">
                      <a:avLst/>
                    </a:prstGeom>
                  </pic:spPr>
                </pic:pic>
              </a:graphicData>
            </a:graphic>
          </wp:inline>
        </w:drawing>
      </w:r>
    </w:p>
    <w:p w14:paraId="1A052423" w14:textId="6C7292BE" w:rsidR="000C41C5" w:rsidRPr="002B1D88" w:rsidRDefault="000C41C5" w:rsidP="000C41C5">
      <w:pPr>
        <w:pStyle w:val="Caption"/>
        <w:rPr>
          <w:color w:val="000000" w:themeColor="text1"/>
          <w:sz w:val="22"/>
          <w:szCs w:val="22"/>
        </w:rPr>
      </w:pPr>
      <w:r w:rsidRPr="002B1D88">
        <w:rPr>
          <w:b/>
          <w:bCs/>
          <w:color w:val="000000" w:themeColor="text1"/>
          <w:sz w:val="22"/>
          <w:szCs w:val="22"/>
        </w:rPr>
        <w:t>Figure S</w:t>
      </w:r>
      <w:r w:rsidR="00526FF2">
        <w:rPr>
          <w:b/>
          <w:bCs/>
          <w:color w:val="000000" w:themeColor="text1"/>
          <w:sz w:val="22"/>
          <w:szCs w:val="22"/>
        </w:rPr>
        <w:t>4</w:t>
      </w:r>
      <w:r w:rsidR="002B1D88" w:rsidRPr="002B1D88">
        <w:rPr>
          <w:b/>
          <w:bCs/>
          <w:color w:val="000000" w:themeColor="text1"/>
          <w:sz w:val="22"/>
          <w:szCs w:val="22"/>
        </w:rPr>
        <w:t>.2</w:t>
      </w:r>
      <w:r w:rsidRPr="002B1D88">
        <w:rPr>
          <w:b/>
          <w:bCs/>
          <w:color w:val="000000" w:themeColor="text1"/>
          <w:sz w:val="22"/>
          <w:szCs w:val="22"/>
        </w:rPr>
        <w:t>.</w:t>
      </w:r>
      <w:r w:rsidRPr="002B1D88">
        <w:rPr>
          <w:color w:val="000000" w:themeColor="text1"/>
          <w:sz w:val="22"/>
          <w:szCs w:val="22"/>
        </w:rPr>
        <w:t xml:space="preserve"> Estimated continental trajectory of Blackpoll Warbler from 2000 to 2018 based on analysis of Breeding Bird Survey.</w:t>
      </w:r>
    </w:p>
    <w:p w14:paraId="25031BBA" w14:textId="77777777" w:rsidR="000C41C5" w:rsidRDefault="000C41C5"/>
    <w:p w14:paraId="13DFA1DE" w14:textId="5436A2C6" w:rsidR="00C9407F" w:rsidRDefault="00C9407F">
      <w:r>
        <w:t>The estimated trajectories of Blackpoll Warbler in eastern and western BBS strata are illustrated in Figure</w:t>
      </w:r>
      <w:r w:rsidR="002B1D88">
        <w:t xml:space="preserve"> S3.3</w:t>
      </w:r>
      <w:r>
        <w:t>.  Regional estimates were generated by aggregating area-weighted annual indices within USGS analytical strata, which were grouped in “east” and “west” categories based on geographic overlap with the corresponding strata used in migration analysis (see Figure S</w:t>
      </w:r>
      <w:r w:rsidR="00526FF2">
        <w:t>4.</w:t>
      </w:r>
      <w:r>
        <w:t xml:space="preserve">1).  Methods for estimating trajectories within custom strata are described by Edwards and Smith (2020) and example code is available on </w:t>
      </w:r>
      <w:r w:rsidRPr="00C9407F">
        <w:t>https://github.com/bbsBayes/bbsBayes</w:t>
      </w:r>
      <w:r>
        <w:t>.</w:t>
      </w:r>
    </w:p>
    <w:p w14:paraId="3933F259" w14:textId="77777777" w:rsidR="00C9407F" w:rsidRDefault="00C9407F" w:rsidP="00C9407F">
      <w:pPr>
        <w:keepNext/>
      </w:pPr>
      <w:r>
        <w:rPr>
          <w:noProof/>
        </w:rPr>
        <w:drawing>
          <wp:inline distT="0" distB="0" distL="0" distR="0" wp14:anchorId="24D376CD" wp14:editId="0B9B1333">
            <wp:extent cx="5124450" cy="2562225"/>
            <wp:effectExtent l="0" t="0" r="0" b="9525"/>
            <wp:docPr id="556151733"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1733" name="Picture 1" descr="A graph of a graph of a graph of a graph of a graph of a graph of a graph of a graph of a graph of a graph of a graph of a graph of a graph of&#10;&#10;Description automatically generated"/>
                    <pic:cNvPicPr/>
                  </pic:nvPicPr>
                  <pic:blipFill>
                    <a:blip r:embed="rId10"/>
                    <a:stretch>
                      <a:fillRect/>
                    </a:stretch>
                  </pic:blipFill>
                  <pic:spPr>
                    <a:xfrm>
                      <a:off x="0" y="0"/>
                      <a:ext cx="5125008" cy="2562504"/>
                    </a:xfrm>
                    <a:prstGeom prst="rect">
                      <a:avLst/>
                    </a:prstGeom>
                  </pic:spPr>
                </pic:pic>
              </a:graphicData>
            </a:graphic>
          </wp:inline>
        </w:drawing>
      </w:r>
    </w:p>
    <w:p w14:paraId="1BA78F6F" w14:textId="4637EF4E" w:rsidR="000C41C5" w:rsidRDefault="00C9407F" w:rsidP="00C9407F">
      <w:pPr>
        <w:pStyle w:val="Caption"/>
      </w:pPr>
      <w:r w:rsidRPr="002B1D88">
        <w:rPr>
          <w:b/>
          <w:bCs/>
          <w:color w:val="000000" w:themeColor="text1"/>
          <w:sz w:val="22"/>
          <w:szCs w:val="22"/>
        </w:rPr>
        <w:t>Figure S</w:t>
      </w:r>
      <w:r w:rsidR="00526FF2">
        <w:rPr>
          <w:b/>
          <w:bCs/>
          <w:color w:val="000000" w:themeColor="text1"/>
          <w:sz w:val="22"/>
          <w:szCs w:val="22"/>
        </w:rPr>
        <w:t>4</w:t>
      </w:r>
      <w:r w:rsidR="002B1D88" w:rsidRPr="002B1D88">
        <w:rPr>
          <w:b/>
          <w:bCs/>
          <w:color w:val="000000" w:themeColor="text1"/>
          <w:sz w:val="22"/>
          <w:szCs w:val="22"/>
        </w:rPr>
        <w:t>.3</w:t>
      </w:r>
      <w:r w:rsidRPr="002B1D88">
        <w:rPr>
          <w:b/>
          <w:bCs/>
          <w:color w:val="000000" w:themeColor="text1"/>
          <w:sz w:val="22"/>
          <w:szCs w:val="22"/>
        </w:rPr>
        <w:t>.</w:t>
      </w:r>
      <w:r w:rsidRPr="002B1D88">
        <w:rPr>
          <w:color w:val="000000" w:themeColor="text1"/>
          <w:sz w:val="22"/>
          <w:szCs w:val="22"/>
        </w:rPr>
        <w:t xml:space="preserve"> Estimated population trajectories of Blackpoll Warbler from 2000 to 2018 based on analysis of Breeding Bird Survey, by aggregating estimated annual indices in “eastern” and “western” strata.</w:t>
      </w:r>
      <w:r w:rsidR="000C41C5">
        <w:br w:type="page"/>
      </w:r>
    </w:p>
    <w:p w14:paraId="3EDBDC2A" w14:textId="1DBCC484" w:rsidR="000C41C5" w:rsidRPr="000C41C5" w:rsidRDefault="000C41C5">
      <w:pPr>
        <w:rPr>
          <w:b/>
          <w:bCs/>
          <w:sz w:val="28"/>
          <w:szCs w:val="28"/>
        </w:rPr>
      </w:pPr>
      <w:r w:rsidRPr="000C41C5">
        <w:rPr>
          <w:b/>
          <w:bCs/>
          <w:sz w:val="28"/>
          <w:szCs w:val="28"/>
        </w:rPr>
        <w:lastRenderedPageBreak/>
        <w:t xml:space="preserve">Appendix </w:t>
      </w:r>
      <w:r w:rsidR="00526FF2">
        <w:rPr>
          <w:b/>
          <w:bCs/>
          <w:sz w:val="28"/>
          <w:szCs w:val="28"/>
        </w:rPr>
        <w:t>5</w:t>
      </w:r>
      <w:r w:rsidRPr="000C41C5">
        <w:rPr>
          <w:b/>
          <w:bCs/>
          <w:sz w:val="28"/>
          <w:szCs w:val="28"/>
        </w:rPr>
        <w:t xml:space="preserve">: Simulations to </w:t>
      </w:r>
      <w:r w:rsidR="00705DDC">
        <w:rPr>
          <w:b/>
          <w:bCs/>
          <w:sz w:val="28"/>
          <w:szCs w:val="28"/>
        </w:rPr>
        <w:t>evaluate the ability of</w:t>
      </w:r>
      <w:r w:rsidRPr="000C41C5">
        <w:rPr>
          <w:b/>
          <w:bCs/>
          <w:sz w:val="28"/>
          <w:szCs w:val="28"/>
        </w:rPr>
        <w:t xml:space="preserve"> the migration model </w:t>
      </w:r>
      <w:r w:rsidR="00705DDC">
        <w:rPr>
          <w:b/>
          <w:bCs/>
          <w:sz w:val="28"/>
          <w:szCs w:val="28"/>
        </w:rPr>
        <w:t xml:space="preserve">to </w:t>
      </w:r>
      <w:r w:rsidRPr="000C41C5">
        <w:rPr>
          <w:b/>
          <w:bCs/>
          <w:sz w:val="28"/>
          <w:szCs w:val="28"/>
        </w:rPr>
        <w:t xml:space="preserve">accurately recover </w:t>
      </w:r>
      <w:r w:rsidR="00705DDC">
        <w:rPr>
          <w:b/>
          <w:bCs/>
          <w:sz w:val="28"/>
          <w:szCs w:val="28"/>
        </w:rPr>
        <w:t xml:space="preserve">regional </w:t>
      </w:r>
      <w:r w:rsidRPr="000C41C5">
        <w:rPr>
          <w:b/>
          <w:bCs/>
          <w:sz w:val="28"/>
          <w:szCs w:val="28"/>
        </w:rPr>
        <w:t xml:space="preserve">trends </w:t>
      </w:r>
      <w:r w:rsidR="00705DDC">
        <w:rPr>
          <w:b/>
          <w:bCs/>
          <w:sz w:val="28"/>
          <w:szCs w:val="28"/>
        </w:rPr>
        <w:t>under different sampling scenarios</w:t>
      </w:r>
    </w:p>
    <w:p w14:paraId="4FB07E07" w14:textId="7BEB2895" w:rsidR="00095EC8" w:rsidRPr="00095EC8" w:rsidRDefault="00095EC8" w:rsidP="00095EC8">
      <w:pPr>
        <w:spacing w:after="0" w:line="360" w:lineRule="auto"/>
        <w:rPr>
          <w:i/>
          <w:iCs/>
        </w:rPr>
      </w:pPr>
      <w:r w:rsidRPr="00095EC8">
        <w:rPr>
          <w:i/>
          <w:iCs/>
        </w:rPr>
        <w:t>Simulation methods</w:t>
      </w:r>
    </w:p>
    <w:p w14:paraId="5E27F645" w14:textId="3AB119A7" w:rsidR="00962316" w:rsidRDefault="00705DDC" w:rsidP="00E33F2A">
      <w:pPr>
        <w:spacing w:after="0" w:line="360" w:lineRule="auto"/>
        <w:ind w:firstLine="720"/>
      </w:pPr>
      <w:r>
        <w:t xml:space="preserve">We conducted a series of simulations to evaluate the ability of our statistical model to accurately estimate regional population trends. We </w:t>
      </w:r>
      <w:r w:rsidR="00962316">
        <w:t xml:space="preserve">conducted </w:t>
      </w:r>
      <w:r>
        <w:t>500 independent simulat</w:t>
      </w:r>
      <w:r w:rsidR="00962316">
        <w:t xml:space="preserve">ions </w:t>
      </w:r>
      <w:r>
        <w:t>(each 18 years in duration), wherein we generated random trajectories for each of two hypothetical strata</w:t>
      </w:r>
      <w:r w:rsidR="00962316">
        <w:t xml:space="preserve"> (indexed by </w:t>
      </w:r>
      <w:r w:rsidR="00962316" w:rsidRPr="00962316">
        <w:rPr>
          <w:i/>
          <w:iCs/>
        </w:rPr>
        <w:t>j</w:t>
      </w:r>
      <w:r w:rsidR="00962316">
        <w:t>)</w:t>
      </w:r>
      <w:r>
        <w:t xml:space="preserve"> using a random walk process with log-scale standard deviation equal to 0.4 (equivalent to the magnitude of process variance estimated from the empirical model for pre-breeding migration)</w:t>
      </w:r>
      <w:r w:rsidR="00962316">
        <w:t>, according to:</w:t>
      </w:r>
    </w:p>
    <w:p w14:paraId="39D75CBC" w14:textId="00FC8D2B" w:rsidR="00962316" w:rsidRPr="00962316" w:rsidRDefault="00000000" w:rsidP="00962316">
      <w:pPr>
        <w:spacing w:after="0" w:line="360" w:lineRule="auto"/>
        <w:ind w:firstLine="720"/>
        <w:jc w:val="center"/>
        <w:rPr>
          <w:rFonts w:eastAsiaTheme="minorEastAsia"/>
        </w:rPr>
      </w:pP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j,t</m:t>
                    </m:r>
                  </m:sub>
                </m:sSub>
              </m:e>
            </m:d>
          </m:e>
        </m:func>
        <m:r>
          <w:rPr>
            <w:rFonts w:ascii="Cambria Math" w:hAnsi="Cambria Math"/>
          </w:rPr>
          <m:t>=Normal(</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j,t-1</m:t>
                    </m:r>
                  </m:sub>
                </m:sSub>
              </m:e>
            </m:d>
            <m:r>
              <w:rPr>
                <w:rFonts w:ascii="Cambria Math" w:hAnsi="Cambria Math"/>
              </w:rPr>
              <m:t>,</m:t>
            </m:r>
            <m:sSup>
              <m:sSupPr>
                <m:ctrlPr>
                  <w:rPr>
                    <w:rFonts w:ascii="Cambria Math" w:hAnsi="Cambria Math"/>
                    <w:i/>
                  </w:rPr>
                </m:ctrlPr>
              </m:sSupPr>
              <m:e>
                <m:r>
                  <w:rPr>
                    <w:rFonts w:ascii="Cambria Math" w:hAnsi="Cambria Math"/>
                  </w:rPr>
                  <m:t>0.4</m:t>
                </m:r>
              </m:e>
              <m:sup>
                <m:r>
                  <w:rPr>
                    <w:rFonts w:ascii="Cambria Math" w:hAnsi="Cambria Math"/>
                  </w:rPr>
                  <m:t>2</m:t>
                </m:r>
              </m:sup>
            </m:sSup>
            <m:r>
              <w:rPr>
                <w:rFonts w:ascii="Cambria Math" w:hAnsi="Cambria Math"/>
              </w:rPr>
              <m:t>)</m:t>
            </m:r>
          </m:e>
        </m:func>
        <m:r>
          <w:rPr>
            <w:rFonts w:ascii="Cambria Math" w:eastAsiaTheme="minorEastAsia" w:hAnsi="Cambria Math"/>
          </w:rPr>
          <m:t>,</m:t>
        </m:r>
      </m:oMath>
      <w:r w:rsidR="00962316">
        <w:rPr>
          <w:rFonts w:eastAsiaTheme="minorEastAsia"/>
        </w:rPr>
        <w:t xml:space="preserve"> and</w:t>
      </w:r>
      <w:r w:rsidR="00962316" w:rsidRPr="00962316">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j,1</m:t>
              </m:r>
            </m:sub>
          </m:sSub>
          <m:r>
            <w:rPr>
              <w:rFonts w:ascii="Cambria Math" w:hAnsi="Cambria Math"/>
            </w:rPr>
            <m:t>=1.</m:t>
          </m:r>
        </m:oMath>
      </m:oMathPara>
    </w:p>
    <w:p w14:paraId="63CE8991" w14:textId="5DA446DA" w:rsidR="00BA5211" w:rsidRDefault="00705DDC" w:rsidP="00962316">
      <w:pPr>
        <w:spacing w:after="0" w:line="360" w:lineRule="auto"/>
      </w:pPr>
      <w:r>
        <w:t xml:space="preserve"> </w:t>
      </w:r>
      <w:r w:rsidR="00962316">
        <w:t>Thus, r</w:t>
      </w:r>
      <w:r w:rsidR="00BA5211">
        <w:t xml:space="preserve">elative abundance </w:t>
      </w:r>
      <w:r w:rsidR="00962316">
        <w:t>in</w:t>
      </w:r>
      <w:r w:rsidR="00BA5211">
        <w:t xml:space="preserve"> each stratum was set to 1 in the initial year of the simulations.</w:t>
      </w:r>
      <w:r w:rsidR="00962316">
        <w:t xml:space="preserve">  A single realization of this process is illustrated below in Figure S5.1.</w:t>
      </w:r>
    </w:p>
    <w:p w14:paraId="29F122BD" w14:textId="77777777" w:rsidR="00666E84" w:rsidRDefault="00666E84" w:rsidP="00666E84">
      <w:pPr>
        <w:keepNext/>
        <w:spacing w:after="0" w:line="360" w:lineRule="auto"/>
      </w:pPr>
      <w:r>
        <w:rPr>
          <w:noProof/>
        </w:rPr>
        <w:drawing>
          <wp:inline distT="0" distB="0" distL="0" distR="0" wp14:anchorId="43722469" wp14:editId="0C8A6CB2">
            <wp:extent cx="5943600" cy="3962400"/>
            <wp:effectExtent l="0" t="0" r="0" b="0"/>
            <wp:docPr id="736055605"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55605" name="Picture 1" descr="A graph with lines and numb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7E98DCBD" w14:textId="5902A571" w:rsidR="00962316" w:rsidRPr="00666E84" w:rsidRDefault="00666E84" w:rsidP="00666E84">
      <w:pPr>
        <w:pStyle w:val="Caption"/>
        <w:rPr>
          <w:color w:val="000000" w:themeColor="text1"/>
          <w:sz w:val="22"/>
          <w:szCs w:val="22"/>
        </w:rPr>
      </w:pPr>
      <w:r w:rsidRPr="00666E84">
        <w:rPr>
          <w:b/>
          <w:bCs/>
          <w:color w:val="000000" w:themeColor="text1"/>
          <w:sz w:val="22"/>
          <w:szCs w:val="22"/>
        </w:rPr>
        <w:t xml:space="preserve">Figure </w:t>
      </w:r>
      <w:r>
        <w:rPr>
          <w:b/>
          <w:bCs/>
          <w:color w:val="000000" w:themeColor="text1"/>
          <w:sz w:val="22"/>
          <w:szCs w:val="22"/>
        </w:rPr>
        <w:t>S5.1</w:t>
      </w:r>
      <w:r w:rsidRPr="00666E84">
        <w:rPr>
          <w:b/>
          <w:bCs/>
          <w:color w:val="000000" w:themeColor="text1"/>
          <w:sz w:val="22"/>
          <w:szCs w:val="22"/>
        </w:rPr>
        <w:t>.</w:t>
      </w:r>
      <w:r w:rsidRPr="00666E84">
        <w:rPr>
          <w:color w:val="000000" w:themeColor="text1"/>
          <w:sz w:val="22"/>
          <w:szCs w:val="22"/>
        </w:rPr>
        <w:t xml:space="preserve"> Example of simulated trajectories in each of two strata.</w:t>
      </w:r>
    </w:p>
    <w:p w14:paraId="568BE3D9" w14:textId="2396405E" w:rsidR="00666E84" w:rsidRPr="00666E84" w:rsidRDefault="00095EC8" w:rsidP="00666E84">
      <w:pPr>
        <w:spacing w:after="0" w:line="360" w:lineRule="auto"/>
        <w:ind w:firstLine="720"/>
        <w:rPr>
          <w:color w:val="000000" w:themeColor="text1"/>
        </w:rPr>
      </w:pPr>
      <w:r>
        <w:t>I</w:t>
      </w:r>
      <w:r w:rsidR="00BA5211">
        <w:t xml:space="preserve">ndices of birds arriving at each migration monitoring station (indexed by s) from each stratum (indexed by j) are </w:t>
      </w:r>
      <w:r>
        <w:t>controlled</w:t>
      </w:r>
      <w:r w:rsidR="00BA5211">
        <w:t xml:space="preserve"> by </w:t>
      </w:r>
      <w:r>
        <w:t xml:space="preserve">station-specific </w:t>
      </w:r>
      <w:r w:rsidR="00BA5211">
        <w:t>migration parameters (</w:t>
      </w:r>
      <m:oMath>
        <m:sSub>
          <m:sSubPr>
            <m:ctrlPr>
              <w:rPr>
                <w:rFonts w:ascii="Cambria Math" w:hAnsi="Cambria Math"/>
                <w:i/>
              </w:rPr>
            </m:ctrlPr>
          </m:sSubPr>
          <m:e>
            <m:r>
              <w:rPr>
                <w:rFonts w:ascii="Cambria Math" w:hAnsi="Cambria Math"/>
              </w:rPr>
              <m:t>ρ</m:t>
            </m:r>
          </m:e>
          <m:sub>
            <m:r>
              <w:rPr>
                <w:rFonts w:ascii="Cambria Math" w:hAnsi="Cambria Math"/>
              </w:rPr>
              <m:t>j,s</m:t>
            </m:r>
          </m:sub>
        </m:sSub>
      </m:oMath>
      <w:r w:rsidR="00BA5211">
        <w:t xml:space="preserve">).  </w:t>
      </w:r>
      <w:r w:rsidR="00705DDC">
        <w:t>In each simulation, we randomly assigned migration parameters (</w:t>
      </w:r>
      <m:oMath>
        <m:sSub>
          <m:sSubPr>
            <m:ctrlPr>
              <w:rPr>
                <w:rFonts w:ascii="Cambria Math" w:hAnsi="Cambria Math"/>
                <w:i/>
              </w:rPr>
            </m:ctrlPr>
          </m:sSubPr>
          <m:e>
            <m:r>
              <w:rPr>
                <w:rFonts w:ascii="Cambria Math" w:hAnsi="Cambria Math"/>
              </w:rPr>
              <m:t>ρ</m:t>
            </m:r>
          </m:e>
          <m:sub>
            <m:r>
              <w:rPr>
                <w:rFonts w:ascii="Cambria Math" w:hAnsi="Cambria Math"/>
              </w:rPr>
              <m:t>j,s</m:t>
            </m:r>
          </m:sub>
        </m:sSub>
      </m:oMath>
      <w:r w:rsidR="00705DDC">
        <w:t xml:space="preserve">) to each of 13 migration monitoring stations by drawing </w:t>
      </w:r>
      <w:r w:rsidR="00705DDC">
        <w:lastRenderedPageBreak/>
        <w:t xml:space="preserve">from a </w:t>
      </w:r>
      <w:r w:rsidR="0029708F">
        <w:t xml:space="preserve">uniform </w:t>
      </w:r>
      <w:r w:rsidR="00705DDC">
        <w:t xml:space="preserve">distribution </w:t>
      </w:r>
      <w:r w:rsidR="0029708F">
        <w:t xml:space="preserve">between 0 and </w:t>
      </w:r>
      <w:r>
        <w:t>2</w:t>
      </w:r>
      <w:r w:rsidR="00705DDC">
        <w:t xml:space="preserve">.  In simulations, all stations therefore received </w:t>
      </w:r>
      <w:r w:rsidR="00E33F2A">
        <w:t xml:space="preserve">varying </w:t>
      </w:r>
      <w:r w:rsidR="00705DDC">
        <w:t xml:space="preserve">mixtures of birds from both strata.  </w:t>
      </w:r>
      <w:r w:rsidR="00E33F2A">
        <w:t>Observed counts at each station were simulated, conditional on the simulated annual abundance in each region, migration parameters from each region to each station, and process/observation variance components at each station</w:t>
      </w:r>
      <w:r>
        <w:t xml:space="preserve"> (i.e., mean date of migration, width of migration window, net hours per day, daily random variance in observed counts, etc)</w:t>
      </w:r>
      <w:r w:rsidR="00E33F2A">
        <w:t xml:space="preserve">.  </w:t>
      </w:r>
    </w:p>
    <w:p w14:paraId="3209B085" w14:textId="77777777" w:rsidR="00666E84" w:rsidRDefault="00E33F2A" w:rsidP="00666E84">
      <w:pPr>
        <w:spacing w:after="0" w:line="360" w:lineRule="auto"/>
        <w:ind w:firstLine="720"/>
      </w:pPr>
      <w:r>
        <w:t xml:space="preserve">We simulated data from the statistical model using median parameter estimates from the empirical model fit to pre-breeding migration, to ensure that simulated datasets contained realistic values of process and observation variance. We note that </w:t>
      </w:r>
      <w:r w:rsidR="00095EC8">
        <w:t>all of our</w:t>
      </w:r>
      <w:r>
        <w:t xml:space="preserve"> simulations represent an especially difficult monitoring situation in which no stations exclusively monitor a single stratum and regional population dynamics must therefore be estimated based on noisy mixtures of birds from multiple regions at all stations simultaneously.</w:t>
      </w:r>
      <w:r w:rsidR="00666E84">
        <w:t xml:space="preserve"> An example of simulated counts at two stations are illustrated in Figure S5.2.</w:t>
      </w:r>
    </w:p>
    <w:p w14:paraId="38C5BE4D" w14:textId="77777777" w:rsidR="00666E84" w:rsidRDefault="00666E84" w:rsidP="00666E84">
      <w:pPr>
        <w:keepNext/>
        <w:spacing w:after="0" w:line="360" w:lineRule="auto"/>
      </w:pPr>
      <w:r>
        <w:rPr>
          <w:noProof/>
        </w:rPr>
        <w:drawing>
          <wp:inline distT="0" distB="0" distL="0" distR="0" wp14:anchorId="2152C503" wp14:editId="7F5CBB9C">
            <wp:extent cx="6286500" cy="1257300"/>
            <wp:effectExtent l="0" t="0" r="0" b="0"/>
            <wp:docPr id="68384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3932" name="Picture 1" descr="A screenshot of a computer&#10;&#10;Description automatically generated"/>
                    <pic:cNvPicPr/>
                  </pic:nvPicPr>
                  <pic:blipFill>
                    <a:blip r:embed="rId12"/>
                    <a:stretch>
                      <a:fillRect/>
                    </a:stretch>
                  </pic:blipFill>
                  <pic:spPr>
                    <a:xfrm>
                      <a:off x="0" y="0"/>
                      <a:ext cx="6286500" cy="1257300"/>
                    </a:xfrm>
                    <a:prstGeom prst="rect">
                      <a:avLst/>
                    </a:prstGeom>
                  </pic:spPr>
                </pic:pic>
              </a:graphicData>
            </a:graphic>
          </wp:inline>
        </w:drawing>
      </w:r>
    </w:p>
    <w:p w14:paraId="0D020463" w14:textId="216EF101" w:rsidR="00666E84" w:rsidRDefault="00666E84" w:rsidP="00666E84">
      <w:pPr>
        <w:pStyle w:val="Caption"/>
        <w:rPr>
          <w:color w:val="000000" w:themeColor="text1"/>
          <w:sz w:val="22"/>
          <w:szCs w:val="22"/>
        </w:rPr>
      </w:pPr>
      <w:r w:rsidRPr="00666E84">
        <w:rPr>
          <w:b/>
          <w:bCs/>
          <w:color w:val="000000" w:themeColor="text1"/>
          <w:sz w:val="22"/>
          <w:szCs w:val="22"/>
        </w:rPr>
        <w:t xml:space="preserve">Figure </w:t>
      </w:r>
      <w:r>
        <w:rPr>
          <w:b/>
          <w:bCs/>
          <w:color w:val="000000" w:themeColor="text1"/>
          <w:sz w:val="22"/>
          <w:szCs w:val="22"/>
        </w:rPr>
        <w:t>S5.2</w:t>
      </w:r>
      <w:r w:rsidRPr="00666E84">
        <w:rPr>
          <w:b/>
          <w:bCs/>
          <w:color w:val="000000" w:themeColor="text1"/>
          <w:sz w:val="22"/>
          <w:szCs w:val="22"/>
        </w:rPr>
        <w:t>.</w:t>
      </w:r>
      <w:r w:rsidRPr="00666E84">
        <w:rPr>
          <w:color w:val="000000" w:themeColor="text1"/>
          <w:sz w:val="22"/>
          <w:szCs w:val="22"/>
        </w:rPr>
        <w:t xml:space="preserve"> Example of simulated daily counts at two stations.</w:t>
      </w:r>
    </w:p>
    <w:p w14:paraId="1EBF3AD5" w14:textId="77777777" w:rsidR="00666E84" w:rsidRPr="00666E84" w:rsidRDefault="00666E84" w:rsidP="00666E84">
      <w:pPr>
        <w:rPr>
          <w:lang w:val="en-US"/>
        </w:rPr>
      </w:pPr>
    </w:p>
    <w:p w14:paraId="070FFDCF" w14:textId="42AC580D" w:rsidR="00E33F2A" w:rsidRDefault="00E33F2A" w:rsidP="00E33F2A">
      <w:pPr>
        <w:spacing w:after="0" w:line="360" w:lineRule="auto"/>
        <w:ind w:firstLine="720"/>
      </w:pPr>
      <w:r>
        <w:t xml:space="preserve">In each simulation, we considered three potential “data collection scenarios”.  In the first scenario, </w:t>
      </w:r>
      <w:r w:rsidR="00095EC8">
        <w:t>feathers from 20 birds</w:t>
      </w:r>
      <w:r>
        <w:t xml:space="preserve"> were collected at </w:t>
      </w:r>
      <w:r w:rsidR="00095EC8">
        <w:t>all stations in a single year; no stations contained repeated sampling of feather isotopes across years</w:t>
      </w:r>
      <w:r>
        <w:t xml:space="preserve">.  In the second scenario, feather isotopes were </w:t>
      </w:r>
      <w:r w:rsidR="00095EC8">
        <w:t xml:space="preserve">analyzed </w:t>
      </w:r>
      <w:r>
        <w:t xml:space="preserve">from 20 birds at every station every five years.  In the third scenario, feather isotopes were </w:t>
      </w:r>
      <w:r w:rsidR="00095EC8">
        <w:t>analyzed</w:t>
      </w:r>
      <w:r>
        <w:t xml:space="preserve"> from 20 birds at every station every year.  These latter two scenarios allowed us to evaluate the potential benefits of repeated sampling of feather isotopes</w:t>
      </w:r>
      <w:r w:rsidR="00095EC8">
        <w:t>, which we hypothesized would contain additional information with which to estimate trends</w:t>
      </w:r>
      <w:r>
        <w:t>.</w:t>
      </w:r>
      <w:r w:rsidR="00666E84">
        <w:t xml:space="preserve">  An example of simulated feather sampling (and resultant breeding origin assignments) are illustrated in Figure S5.3</w:t>
      </w:r>
      <w:r w:rsidR="00F63FD8">
        <w:t xml:space="preserve"> for data collection scenario 1 (20 feather samples analyzed in a single year).</w:t>
      </w:r>
    </w:p>
    <w:p w14:paraId="4DBB1E66" w14:textId="77777777" w:rsidR="00F63FD8" w:rsidRDefault="00F63FD8" w:rsidP="00F63FD8">
      <w:pPr>
        <w:keepNext/>
        <w:spacing w:after="0" w:line="360" w:lineRule="auto"/>
        <w:ind w:firstLine="720"/>
      </w:pPr>
      <w:r>
        <w:rPr>
          <w:noProof/>
        </w:rPr>
        <w:lastRenderedPageBreak/>
        <w:drawing>
          <wp:inline distT="0" distB="0" distL="0" distR="0" wp14:anchorId="7C436FDB" wp14:editId="36E4474B">
            <wp:extent cx="5943600" cy="4754880"/>
            <wp:effectExtent l="0" t="0" r="0" b="7620"/>
            <wp:docPr id="1478131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1525" name="Picture 1" descr="A screenshot of a computer&#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p>
    <w:p w14:paraId="439B6EEF" w14:textId="7813DDF2" w:rsidR="00666E84" w:rsidRDefault="00F63FD8" w:rsidP="00F63FD8">
      <w:pPr>
        <w:pStyle w:val="Caption"/>
        <w:rPr>
          <w:color w:val="000000" w:themeColor="text1"/>
          <w:sz w:val="22"/>
          <w:szCs w:val="22"/>
        </w:rPr>
      </w:pPr>
      <w:r w:rsidRPr="00F63FD8">
        <w:rPr>
          <w:b/>
          <w:bCs/>
          <w:color w:val="000000" w:themeColor="text1"/>
          <w:sz w:val="22"/>
          <w:szCs w:val="22"/>
        </w:rPr>
        <w:t xml:space="preserve">Figure </w:t>
      </w:r>
      <w:r>
        <w:rPr>
          <w:b/>
          <w:bCs/>
          <w:color w:val="000000" w:themeColor="text1"/>
          <w:sz w:val="22"/>
          <w:szCs w:val="22"/>
        </w:rPr>
        <w:t>S5.3</w:t>
      </w:r>
      <w:r w:rsidRPr="00F63FD8">
        <w:rPr>
          <w:b/>
          <w:bCs/>
          <w:color w:val="000000" w:themeColor="text1"/>
          <w:sz w:val="22"/>
          <w:szCs w:val="22"/>
        </w:rPr>
        <w:t>.</w:t>
      </w:r>
      <w:r w:rsidRPr="00F63FD8">
        <w:rPr>
          <w:color w:val="000000" w:themeColor="text1"/>
          <w:sz w:val="22"/>
          <w:szCs w:val="22"/>
        </w:rPr>
        <w:t xml:space="preserve"> Example of simulated </w:t>
      </w:r>
      <w:r>
        <w:rPr>
          <w:color w:val="000000" w:themeColor="text1"/>
          <w:sz w:val="22"/>
          <w:szCs w:val="22"/>
        </w:rPr>
        <w:t>feather sampling, and associated breeding origin assignments, at each of 12 migration monitoring stations.  Example illustrates simulated data for isotope collection scenario 1, where 20 birds were sampled in a single year.</w:t>
      </w:r>
    </w:p>
    <w:p w14:paraId="1D21B411" w14:textId="77777777" w:rsidR="00F63FD8" w:rsidRDefault="00F63FD8" w:rsidP="00F63FD8">
      <w:pPr>
        <w:rPr>
          <w:lang w:val="en-US"/>
        </w:rPr>
      </w:pPr>
    </w:p>
    <w:p w14:paraId="42B71492" w14:textId="7A2DB7D5" w:rsidR="00F63FD8" w:rsidRPr="00F63FD8" w:rsidRDefault="00F63FD8" w:rsidP="00F63FD8">
      <w:pPr>
        <w:rPr>
          <w:lang w:val="en-US"/>
        </w:rPr>
      </w:pPr>
      <w:r>
        <w:t>An example of simulated feather sampling (and resultant breeding origin assignments) are illustrated in Figure S5.4 for data collection scenario 2 (20 feather samples analyzed every 5 years).</w:t>
      </w:r>
    </w:p>
    <w:p w14:paraId="48D3D297" w14:textId="15CE2939" w:rsidR="00F63FD8" w:rsidRDefault="00F63FD8" w:rsidP="00F63FD8">
      <w:pPr>
        <w:rPr>
          <w:lang w:val="en-US"/>
        </w:rPr>
      </w:pPr>
      <w:r>
        <w:rPr>
          <w:noProof/>
        </w:rPr>
        <w:lastRenderedPageBreak/>
        <w:drawing>
          <wp:inline distT="0" distB="0" distL="0" distR="0" wp14:anchorId="21102475" wp14:editId="72B75558">
            <wp:extent cx="5943600" cy="4754880"/>
            <wp:effectExtent l="0" t="0" r="0" b="7620"/>
            <wp:docPr id="158308561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5612" name="Picture 1" descr="A screenshot of a graph&#10;&#10;Description automatically generated"/>
                    <pic:cNvPicPr/>
                  </pic:nvPicPr>
                  <pic:blipFill>
                    <a:blip r:embed="rId14"/>
                    <a:stretch>
                      <a:fillRect/>
                    </a:stretch>
                  </pic:blipFill>
                  <pic:spPr>
                    <a:xfrm>
                      <a:off x="0" y="0"/>
                      <a:ext cx="5943600" cy="4754880"/>
                    </a:xfrm>
                    <a:prstGeom prst="rect">
                      <a:avLst/>
                    </a:prstGeom>
                  </pic:spPr>
                </pic:pic>
              </a:graphicData>
            </a:graphic>
          </wp:inline>
        </w:drawing>
      </w:r>
    </w:p>
    <w:p w14:paraId="032F988A" w14:textId="4C9B8247" w:rsidR="00F63FD8" w:rsidRDefault="00F63FD8" w:rsidP="00F63FD8">
      <w:pPr>
        <w:pStyle w:val="Caption"/>
        <w:rPr>
          <w:color w:val="000000" w:themeColor="text1"/>
          <w:sz w:val="22"/>
          <w:szCs w:val="22"/>
        </w:rPr>
      </w:pPr>
      <w:r w:rsidRPr="00F63FD8">
        <w:rPr>
          <w:b/>
          <w:bCs/>
          <w:color w:val="000000" w:themeColor="text1"/>
          <w:sz w:val="22"/>
          <w:szCs w:val="22"/>
        </w:rPr>
        <w:t xml:space="preserve">Figure </w:t>
      </w:r>
      <w:r>
        <w:rPr>
          <w:b/>
          <w:bCs/>
          <w:color w:val="000000" w:themeColor="text1"/>
          <w:sz w:val="22"/>
          <w:szCs w:val="22"/>
        </w:rPr>
        <w:t>S5.4</w:t>
      </w:r>
      <w:r w:rsidRPr="00F63FD8">
        <w:rPr>
          <w:b/>
          <w:bCs/>
          <w:color w:val="000000" w:themeColor="text1"/>
          <w:sz w:val="22"/>
          <w:szCs w:val="22"/>
        </w:rPr>
        <w:t>.</w:t>
      </w:r>
      <w:r w:rsidRPr="00F63FD8">
        <w:rPr>
          <w:color w:val="000000" w:themeColor="text1"/>
          <w:sz w:val="22"/>
          <w:szCs w:val="22"/>
        </w:rPr>
        <w:t xml:space="preserve"> Example of simulated </w:t>
      </w:r>
      <w:r>
        <w:rPr>
          <w:color w:val="000000" w:themeColor="text1"/>
          <w:sz w:val="22"/>
          <w:szCs w:val="22"/>
        </w:rPr>
        <w:t>feather sampling, and associated breeding origin assignments, at each of 12 migration monitoring stations.  Example illustrates simulated data for isotope collection scenario 2, where 20 birds were sampled every 5 years.</w:t>
      </w:r>
    </w:p>
    <w:p w14:paraId="6CD6B01F" w14:textId="77777777" w:rsidR="00F63FD8" w:rsidRPr="00F63FD8" w:rsidRDefault="00F63FD8" w:rsidP="00F63FD8">
      <w:pPr>
        <w:rPr>
          <w:lang w:val="en-US"/>
        </w:rPr>
      </w:pPr>
    </w:p>
    <w:p w14:paraId="63E48099" w14:textId="43C89C67" w:rsidR="00705DDC" w:rsidRDefault="00E33F2A" w:rsidP="00E33F2A">
      <w:pPr>
        <w:spacing w:after="0" w:line="360" w:lineRule="auto"/>
        <w:ind w:firstLine="720"/>
      </w:pPr>
      <w:r>
        <w:t xml:space="preserve">For each simulation, and each data collection scenario, we fit the Bayesian statistical model to the simulated datasets and calculated estimates of trend to compare to the “true” (simulated) trends that generated the data.  </w:t>
      </w:r>
      <w:r w:rsidR="00705DDC">
        <w:t xml:space="preserve">Critically, when we fit the Bayesian statistical model to the simulated data, we did not enter </w:t>
      </w:r>
      <w:r w:rsidR="00095EC8">
        <w:t>the simulated values of regional abundance (</w:t>
      </w:r>
      <m:oMath>
        <m:sSub>
          <m:sSubPr>
            <m:ctrlPr>
              <w:rPr>
                <w:rFonts w:ascii="Cambria Math" w:hAnsi="Cambria Math"/>
                <w:i/>
              </w:rPr>
            </m:ctrlPr>
          </m:sSubPr>
          <m:e>
            <m:r>
              <w:rPr>
                <w:rFonts w:ascii="Cambria Math" w:hAnsi="Cambria Math"/>
              </w:rPr>
              <m:t>X</m:t>
            </m:r>
          </m:e>
          <m:sub>
            <m:r>
              <w:rPr>
                <w:rFonts w:ascii="Cambria Math" w:hAnsi="Cambria Math"/>
              </w:rPr>
              <m:t>j,y</m:t>
            </m:r>
          </m:sub>
        </m:sSub>
      </m:oMath>
      <w:r w:rsidR="00095EC8">
        <w:rPr>
          <w:rFonts w:eastAsiaTheme="minorEastAsia"/>
        </w:rPr>
        <w:t xml:space="preserve">) or </w:t>
      </w:r>
      <w:r w:rsidR="00705DDC">
        <w:t xml:space="preserve">migration </w:t>
      </w:r>
      <w:r>
        <w:t xml:space="preserve">parameters </w:t>
      </w:r>
      <w:r w:rsidR="00095EC8">
        <w:t>(</w:t>
      </w:r>
      <m:oMath>
        <m:sSub>
          <m:sSubPr>
            <m:ctrlPr>
              <w:rPr>
                <w:rFonts w:ascii="Cambria Math" w:hAnsi="Cambria Math"/>
                <w:i/>
              </w:rPr>
            </m:ctrlPr>
          </m:sSubPr>
          <m:e>
            <m:r>
              <w:rPr>
                <w:rFonts w:ascii="Cambria Math" w:hAnsi="Cambria Math"/>
              </w:rPr>
              <m:t>ρ</m:t>
            </m:r>
          </m:e>
          <m:sub>
            <m:r>
              <w:rPr>
                <w:rFonts w:ascii="Cambria Math" w:hAnsi="Cambria Math"/>
              </w:rPr>
              <m:t>j,s</m:t>
            </m:r>
          </m:sub>
        </m:sSub>
      </m:oMath>
      <w:r w:rsidR="00095EC8">
        <w:rPr>
          <w:rFonts w:eastAsiaTheme="minorEastAsia"/>
        </w:rPr>
        <w:t xml:space="preserve">) </w:t>
      </w:r>
      <w:r w:rsidR="00705DDC">
        <w:t>as data. Instead, the model estimated th</w:t>
      </w:r>
      <w:r w:rsidR="00095EC8">
        <w:t>ose parameters</w:t>
      </w:r>
      <w:r w:rsidR="00705DDC">
        <w:t xml:space="preserve"> using only a small sample of simulated “known origin” birds</w:t>
      </w:r>
      <w:r w:rsidR="00A73800">
        <w:t xml:space="preserve"> (e.g., Figures S5.3 and S5.4)</w:t>
      </w:r>
      <w:r w:rsidR="00705DDC">
        <w:t>, combined with simulated daily migration counts at each station</w:t>
      </w:r>
      <w:r w:rsidR="00A73800">
        <w:t xml:space="preserve"> (e.g., Figure S5.2)</w:t>
      </w:r>
      <w:r w:rsidR="00705DDC">
        <w:t>.</w:t>
      </w:r>
    </w:p>
    <w:p w14:paraId="752E18AC" w14:textId="77777777" w:rsidR="00095EC8" w:rsidRDefault="00095EC8" w:rsidP="00E33F2A">
      <w:pPr>
        <w:spacing w:after="0" w:line="360" w:lineRule="auto"/>
        <w:ind w:firstLine="720"/>
      </w:pPr>
    </w:p>
    <w:p w14:paraId="6D0A6834" w14:textId="5EBF7248" w:rsidR="00095EC8" w:rsidRPr="00095EC8" w:rsidRDefault="00095EC8" w:rsidP="00095EC8">
      <w:pPr>
        <w:spacing w:after="0" w:line="360" w:lineRule="auto"/>
        <w:rPr>
          <w:i/>
          <w:iCs/>
        </w:rPr>
      </w:pPr>
      <w:r>
        <w:rPr>
          <w:i/>
          <w:iCs/>
        </w:rPr>
        <w:t>Simulation results</w:t>
      </w:r>
    </w:p>
    <w:p w14:paraId="755BC350" w14:textId="77777777" w:rsidR="00C116E4" w:rsidRDefault="00E33F2A" w:rsidP="00E33F2A">
      <w:pPr>
        <w:spacing w:after="0" w:line="360" w:lineRule="auto"/>
        <w:ind w:firstLine="720"/>
      </w:pPr>
      <w:r>
        <w:lastRenderedPageBreak/>
        <w:t xml:space="preserve">Simulations confirmed </w:t>
      </w:r>
      <w:r w:rsidR="00BA5211">
        <w:t>that the model could accurately recover stratum-level population trends under</w:t>
      </w:r>
      <w:r w:rsidR="00A73800">
        <w:t xml:space="preserve"> a wide range of </w:t>
      </w:r>
      <w:r w:rsidR="00C116E4">
        <w:t xml:space="preserve">population trajectories and data collection </w:t>
      </w:r>
      <w:r w:rsidR="00A73800">
        <w:t>scenarios</w:t>
      </w:r>
      <w:r w:rsidR="00BA5211">
        <w:t xml:space="preserve">.  </w:t>
      </w:r>
      <w:r w:rsidR="00A73800">
        <w:t xml:space="preserve">Estimates of regional trends were highly correlated with true (i.e., simulated) trends, and bias in estimated trends was extremely small (i.e., less than 1% on average) even when feather samples were only collected once at each migration monitoring station (Figure S5.5, Table S5.1).  Even when feather samples were only collected once at each migration monitoring station, the mean bias in trend estimates was </w:t>
      </w:r>
      <w:r w:rsidR="00C116E4">
        <w:t xml:space="preserve">less than 1%.  The 95% credible intervals on regional trend estimates contained the true (simulated) trends in approximately 95% of simulations, indicating that credible interval coverage was nominal.  </w:t>
      </w:r>
    </w:p>
    <w:p w14:paraId="6586EFE9" w14:textId="4367AD42" w:rsidR="00E33F2A" w:rsidRDefault="00C116E4" w:rsidP="00E33F2A">
      <w:pPr>
        <w:spacing w:after="0" w:line="360" w:lineRule="auto"/>
        <w:ind w:firstLine="720"/>
      </w:pPr>
      <w:r>
        <w:t>T</w:t>
      </w:r>
      <w:r w:rsidR="00BA5211">
        <w:t xml:space="preserve">rend estimates were more precise when </w:t>
      </w:r>
      <w:r w:rsidR="00FC5239">
        <w:t xml:space="preserve">feather samples were collected </w:t>
      </w:r>
      <w:r w:rsidR="00BA2B47">
        <w:t>multiple times at each station</w:t>
      </w:r>
      <w:r>
        <w:t xml:space="preserve"> (Table S5.1), confirming that repeated sampling of feather isotopes at migration monitoring stations provides additional information with which to estimate population trends.  When feathers were sampled every year, trend estimates were approximately 45% more precise than when feathers were only sampled once at each station (where precision was measured as the width of the 95% credible interval on trend estimates).  </w:t>
      </w:r>
    </w:p>
    <w:p w14:paraId="13A9D80E" w14:textId="77777777" w:rsidR="00A73800" w:rsidRDefault="00A73800" w:rsidP="00E33F2A">
      <w:pPr>
        <w:spacing w:after="0" w:line="360" w:lineRule="auto"/>
        <w:ind w:firstLine="720"/>
      </w:pPr>
    </w:p>
    <w:p w14:paraId="2718BEC7" w14:textId="77777777" w:rsidR="00A73800" w:rsidRDefault="00A73800" w:rsidP="00A73800">
      <w:pPr>
        <w:keepNext/>
      </w:pPr>
      <w:r>
        <w:rPr>
          <w:noProof/>
        </w:rPr>
        <w:drawing>
          <wp:inline distT="0" distB="0" distL="0" distR="0" wp14:anchorId="2001583B" wp14:editId="57E119F9">
            <wp:extent cx="4775200" cy="3581400"/>
            <wp:effectExtent l="0" t="0" r="6350" b="0"/>
            <wp:docPr id="1337343116" name="Picture 1" descr="A graph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43116" name="Picture 1" descr="A graph of different numbers&#10;&#10;Description automatically generated with medium confidence"/>
                    <pic:cNvPicPr/>
                  </pic:nvPicPr>
                  <pic:blipFill>
                    <a:blip r:embed="rId15"/>
                    <a:stretch>
                      <a:fillRect/>
                    </a:stretch>
                  </pic:blipFill>
                  <pic:spPr>
                    <a:xfrm>
                      <a:off x="0" y="0"/>
                      <a:ext cx="4775200" cy="3581400"/>
                    </a:xfrm>
                    <a:prstGeom prst="rect">
                      <a:avLst/>
                    </a:prstGeom>
                  </pic:spPr>
                </pic:pic>
              </a:graphicData>
            </a:graphic>
          </wp:inline>
        </w:drawing>
      </w:r>
    </w:p>
    <w:p w14:paraId="5EAA5F6D" w14:textId="71AE3FD1" w:rsidR="00A73800" w:rsidRPr="00C116E4" w:rsidRDefault="00A73800" w:rsidP="00C116E4">
      <w:pPr>
        <w:pStyle w:val="Caption"/>
        <w:rPr>
          <w:color w:val="000000" w:themeColor="text1"/>
          <w:sz w:val="22"/>
          <w:szCs w:val="22"/>
        </w:rPr>
      </w:pPr>
      <w:r w:rsidRPr="00F63FD8">
        <w:rPr>
          <w:b/>
          <w:bCs/>
          <w:color w:val="000000" w:themeColor="text1"/>
          <w:sz w:val="22"/>
          <w:szCs w:val="22"/>
        </w:rPr>
        <w:t xml:space="preserve">Figure </w:t>
      </w:r>
      <w:r>
        <w:rPr>
          <w:b/>
          <w:bCs/>
          <w:color w:val="000000" w:themeColor="text1"/>
          <w:sz w:val="22"/>
          <w:szCs w:val="22"/>
        </w:rPr>
        <w:t>S5.5</w:t>
      </w:r>
      <w:r w:rsidRPr="00F63FD8">
        <w:rPr>
          <w:b/>
          <w:bCs/>
          <w:color w:val="000000" w:themeColor="text1"/>
          <w:sz w:val="22"/>
          <w:szCs w:val="22"/>
        </w:rPr>
        <w:t>.</w:t>
      </w:r>
      <w:r w:rsidRPr="00F63FD8">
        <w:rPr>
          <w:color w:val="000000" w:themeColor="text1"/>
          <w:sz w:val="22"/>
          <w:szCs w:val="22"/>
        </w:rPr>
        <w:t xml:space="preserve"> </w:t>
      </w:r>
      <w:r>
        <w:rPr>
          <w:color w:val="000000" w:themeColor="text1"/>
          <w:sz w:val="22"/>
          <w:szCs w:val="22"/>
        </w:rPr>
        <w:t>Comparison of simulated (true) regional population trends and estimated population trends, across 100 repeated simulations.  Each point represents a different simulation run.  Columns correspond to different feather isotope data collection scenarios.</w:t>
      </w:r>
    </w:p>
    <w:p w14:paraId="1CD33634" w14:textId="36D27E7E" w:rsidR="00A73800" w:rsidRPr="00A73800" w:rsidRDefault="00A73800" w:rsidP="00A73800">
      <w:pPr>
        <w:pStyle w:val="Caption"/>
        <w:keepNext/>
        <w:rPr>
          <w:color w:val="000000" w:themeColor="text1"/>
          <w:sz w:val="22"/>
          <w:szCs w:val="22"/>
        </w:rPr>
      </w:pPr>
      <w:r w:rsidRPr="00A73800">
        <w:rPr>
          <w:b/>
          <w:bCs/>
          <w:color w:val="000000" w:themeColor="text1"/>
          <w:sz w:val="22"/>
          <w:szCs w:val="22"/>
        </w:rPr>
        <w:lastRenderedPageBreak/>
        <w:t>Table S5.1.</w:t>
      </w:r>
      <w:r w:rsidRPr="00A73800">
        <w:rPr>
          <w:color w:val="000000" w:themeColor="text1"/>
          <w:sz w:val="22"/>
          <w:szCs w:val="22"/>
        </w:rPr>
        <w:t xml:space="preserve">  Summary of bias, credible interval coverage, and precision of regional trend estimates (measured as width of 95% credible interval) across 100 repeated simulations.</w:t>
      </w:r>
    </w:p>
    <w:tbl>
      <w:tblPr>
        <w:tblW w:w="8080" w:type="dxa"/>
        <w:tblLook w:val="04A0" w:firstRow="1" w:lastRow="0" w:firstColumn="1" w:lastColumn="0" w:noHBand="0" w:noVBand="1"/>
      </w:tblPr>
      <w:tblGrid>
        <w:gridCol w:w="3402"/>
        <w:gridCol w:w="1701"/>
        <w:gridCol w:w="1418"/>
        <w:gridCol w:w="1559"/>
      </w:tblGrid>
      <w:tr w:rsidR="00A73800" w:rsidRPr="00A73800" w14:paraId="39E569C3" w14:textId="77777777" w:rsidTr="00A73800">
        <w:trPr>
          <w:trHeight w:val="321"/>
        </w:trPr>
        <w:tc>
          <w:tcPr>
            <w:tcW w:w="3402" w:type="dxa"/>
            <w:tcBorders>
              <w:top w:val="single" w:sz="4" w:space="0" w:color="auto"/>
              <w:left w:val="nil"/>
              <w:bottom w:val="single" w:sz="4" w:space="0" w:color="auto"/>
              <w:right w:val="nil"/>
            </w:tcBorders>
            <w:shd w:val="clear" w:color="auto" w:fill="auto"/>
            <w:noWrap/>
            <w:vAlign w:val="bottom"/>
            <w:hideMark/>
          </w:tcPr>
          <w:p w14:paraId="09F19DAF"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Scenario</w:t>
            </w:r>
          </w:p>
        </w:tc>
        <w:tc>
          <w:tcPr>
            <w:tcW w:w="1701" w:type="dxa"/>
            <w:tcBorders>
              <w:top w:val="single" w:sz="4" w:space="0" w:color="auto"/>
              <w:left w:val="nil"/>
              <w:bottom w:val="single" w:sz="4" w:space="0" w:color="auto"/>
              <w:right w:val="nil"/>
            </w:tcBorders>
            <w:shd w:val="clear" w:color="auto" w:fill="auto"/>
            <w:noWrap/>
            <w:vAlign w:val="bottom"/>
            <w:hideMark/>
          </w:tcPr>
          <w:p w14:paraId="153AF8FA" w14:textId="6CC2274D"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Mean Bias in Trend Estimate</w:t>
            </w:r>
            <w:r>
              <w:rPr>
                <w:rFonts w:ascii="Calibri" w:eastAsia="Times New Roman" w:hAnsi="Calibri" w:cs="Calibri"/>
                <w:color w:val="000000"/>
                <w:kern w:val="0"/>
                <w:lang w:eastAsia="en-CA"/>
                <w14:ligatures w14:val="none"/>
              </w:rPr>
              <w:t xml:space="preserve"> (%)</w:t>
            </w:r>
          </w:p>
        </w:tc>
        <w:tc>
          <w:tcPr>
            <w:tcW w:w="1418" w:type="dxa"/>
            <w:tcBorders>
              <w:top w:val="single" w:sz="4" w:space="0" w:color="auto"/>
              <w:left w:val="nil"/>
              <w:bottom w:val="single" w:sz="4" w:space="0" w:color="auto"/>
              <w:right w:val="nil"/>
            </w:tcBorders>
            <w:shd w:val="clear" w:color="auto" w:fill="auto"/>
            <w:noWrap/>
            <w:vAlign w:val="bottom"/>
            <w:hideMark/>
          </w:tcPr>
          <w:p w14:paraId="126E3D5B" w14:textId="399DF710"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95% Interval Coverage</w:t>
            </w:r>
            <w:r>
              <w:rPr>
                <w:rFonts w:ascii="Calibri" w:eastAsia="Times New Roman" w:hAnsi="Calibri" w:cs="Calibri"/>
                <w:color w:val="000000"/>
                <w:kern w:val="0"/>
                <w:lang w:eastAsia="en-CA"/>
                <w14:ligatures w14:val="none"/>
              </w:rPr>
              <w:t xml:space="preserve"> (proportion)</w:t>
            </w:r>
          </w:p>
        </w:tc>
        <w:tc>
          <w:tcPr>
            <w:tcW w:w="1559" w:type="dxa"/>
            <w:tcBorders>
              <w:top w:val="single" w:sz="4" w:space="0" w:color="auto"/>
              <w:left w:val="nil"/>
              <w:bottom w:val="single" w:sz="4" w:space="0" w:color="auto"/>
              <w:right w:val="nil"/>
            </w:tcBorders>
            <w:shd w:val="clear" w:color="auto" w:fill="auto"/>
            <w:noWrap/>
            <w:vAlign w:val="bottom"/>
            <w:hideMark/>
          </w:tcPr>
          <w:p w14:paraId="2A3477D2" w14:textId="72E63AE5"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Mean Width of 95% C</w:t>
            </w:r>
            <w:r>
              <w:rPr>
                <w:rFonts w:ascii="Calibri" w:eastAsia="Times New Roman" w:hAnsi="Calibri" w:cs="Calibri"/>
                <w:color w:val="000000"/>
                <w:kern w:val="0"/>
                <w:lang w:eastAsia="en-CA"/>
                <w14:ligatures w14:val="none"/>
              </w:rPr>
              <w:t>R</w:t>
            </w:r>
            <w:r w:rsidRPr="00A73800">
              <w:rPr>
                <w:rFonts w:ascii="Calibri" w:eastAsia="Times New Roman" w:hAnsi="Calibri" w:cs="Calibri"/>
                <w:color w:val="000000"/>
                <w:kern w:val="0"/>
                <w:lang w:eastAsia="en-CA"/>
                <w14:ligatures w14:val="none"/>
              </w:rPr>
              <w:t>I</w:t>
            </w:r>
          </w:p>
        </w:tc>
      </w:tr>
      <w:tr w:rsidR="00A73800" w:rsidRPr="00A73800" w14:paraId="5B667CB7" w14:textId="77777777" w:rsidTr="00A73800">
        <w:trPr>
          <w:trHeight w:val="321"/>
        </w:trPr>
        <w:tc>
          <w:tcPr>
            <w:tcW w:w="3402" w:type="dxa"/>
            <w:tcBorders>
              <w:top w:val="single" w:sz="4" w:space="0" w:color="auto"/>
              <w:left w:val="nil"/>
              <w:bottom w:val="nil"/>
              <w:right w:val="nil"/>
            </w:tcBorders>
            <w:shd w:val="clear" w:color="auto" w:fill="auto"/>
            <w:noWrap/>
            <w:vAlign w:val="bottom"/>
            <w:hideMark/>
          </w:tcPr>
          <w:p w14:paraId="311739B4" w14:textId="02613D94"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Pr>
                <w:rFonts w:ascii="Calibri" w:eastAsia="Times New Roman" w:hAnsi="Calibri" w:cs="Calibri"/>
                <w:color w:val="000000"/>
                <w:kern w:val="0"/>
                <w:lang w:eastAsia="en-CA"/>
                <w14:ligatures w14:val="none"/>
              </w:rPr>
              <w:t xml:space="preserve">1 - </w:t>
            </w:r>
            <w:r w:rsidRPr="00A73800">
              <w:rPr>
                <w:rFonts w:ascii="Calibri" w:eastAsia="Times New Roman" w:hAnsi="Calibri" w:cs="Calibri"/>
                <w:color w:val="000000"/>
                <w:kern w:val="0"/>
                <w:lang w:eastAsia="en-CA"/>
                <w14:ligatures w14:val="none"/>
              </w:rPr>
              <w:t>Collect Feathers Once</w:t>
            </w:r>
          </w:p>
        </w:tc>
        <w:tc>
          <w:tcPr>
            <w:tcW w:w="1701" w:type="dxa"/>
            <w:tcBorders>
              <w:top w:val="single" w:sz="4" w:space="0" w:color="auto"/>
              <w:left w:val="nil"/>
              <w:bottom w:val="nil"/>
              <w:right w:val="nil"/>
            </w:tcBorders>
            <w:shd w:val="clear" w:color="auto" w:fill="auto"/>
            <w:noWrap/>
            <w:vAlign w:val="bottom"/>
            <w:hideMark/>
          </w:tcPr>
          <w:p w14:paraId="630D7C64"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0.315</w:t>
            </w:r>
          </w:p>
        </w:tc>
        <w:tc>
          <w:tcPr>
            <w:tcW w:w="1418" w:type="dxa"/>
            <w:tcBorders>
              <w:top w:val="single" w:sz="4" w:space="0" w:color="auto"/>
              <w:left w:val="nil"/>
              <w:bottom w:val="nil"/>
              <w:right w:val="nil"/>
            </w:tcBorders>
            <w:shd w:val="clear" w:color="auto" w:fill="auto"/>
            <w:noWrap/>
            <w:vAlign w:val="bottom"/>
            <w:hideMark/>
          </w:tcPr>
          <w:p w14:paraId="1769E58B"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0.951</w:t>
            </w:r>
          </w:p>
        </w:tc>
        <w:tc>
          <w:tcPr>
            <w:tcW w:w="1559" w:type="dxa"/>
            <w:tcBorders>
              <w:top w:val="single" w:sz="4" w:space="0" w:color="auto"/>
              <w:left w:val="nil"/>
              <w:bottom w:val="nil"/>
              <w:right w:val="nil"/>
            </w:tcBorders>
            <w:shd w:val="clear" w:color="auto" w:fill="auto"/>
            <w:noWrap/>
            <w:vAlign w:val="bottom"/>
            <w:hideMark/>
          </w:tcPr>
          <w:p w14:paraId="5497B779"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8.1</w:t>
            </w:r>
          </w:p>
        </w:tc>
      </w:tr>
      <w:tr w:rsidR="00A73800" w:rsidRPr="00A73800" w14:paraId="1CAC657A" w14:textId="77777777" w:rsidTr="00A73800">
        <w:trPr>
          <w:trHeight w:val="321"/>
        </w:trPr>
        <w:tc>
          <w:tcPr>
            <w:tcW w:w="3402" w:type="dxa"/>
            <w:tcBorders>
              <w:top w:val="nil"/>
              <w:left w:val="nil"/>
              <w:right w:val="nil"/>
            </w:tcBorders>
            <w:shd w:val="clear" w:color="auto" w:fill="auto"/>
            <w:noWrap/>
            <w:vAlign w:val="bottom"/>
            <w:hideMark/>
          </w:tcPr>
          <w:p w14:paraId="05CB5791" w14:textId="7EC89980"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Pr>
                <w:rFonts w:ascii="Calibri" w:eastAsia="Times New Roman" w:hAnsi="Calibri" w:cs="Calibri"/>
                <w:color w:val="000000"/>
                <w:kern w:val="0"/>
                <w:lang w:eastAsia="en-CA"/>
                <w14:ligatures w14:val="none"/>
              </w:rPr>
              <w:t xml:space="preserve">2 - </w:t>
            </w:r>
            <w:r w:rsidRPr="00A73800">
              <w:rPr>
                <w:rFonts w:ascii="Calibri" w:eastAsia="Times New Roman" w:hAnsi="Calibri" w:cs="Calibri"/>
                <w:color w:val="000000"/>
                <w:kern w:val="0"/>
                <w:lang w:eastAsia="en-CA"/>
                <w14:ligatures w14:val="none"/>
              </w:rPr>
              <w:t>Collect Feathers Every 5 Years</w:t>
            </w:r>
          </w:p>
        </w:tc>
        <w:tc>
          <w:tcPr>
            <w:tcW w:w="1701" w:type="dxa"/>
            <w:tcBorders>
              <w:top w:val="nil"/>
              <w:left w:val="nil"/>
              <w:right w:val="nil"/>
            </w:tcBorders>
            <w:shd w:val="clear" w:color="auto" w:fill="auto"/>
            <w:noWrap/>
            <w:vAlign w:val="bottom"/>
            <w:hideMark/>
          </w:tcPr>
          <w:p w14:paraId="64EB1C68"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-0.003</w:t>
            </w:r>
          </w:p>
        </w:tc>
        <w:tc>
          <w:tcPr>
            <w:tcW w:w="1418" w:type="dxa"/>
            <w:tcBorders>
              <w:top w:val="nil"/>
              <w:left w:val="nil"/>
              <w:right w:val="nil"/>
            </w:tcBorders>
            <w:shd w:val="clear" w:color="auto" w:fill="auto"/>
            <w:noWrap/>
            <w:vAlign w:val="bottom"/>
            <w:hideMark/>
          </w:tcPr>
          <w:p w14:paraId="2AADAD9B"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0.953</w:t>
            </w:r>
          </w:p>
        </w:tc>
        <w:tc>
          <w:tcPr>
            <w:tcW w:w="1559" w:type="dxa"/>
            <w:tcBorders>
              <w:top w:val="nil"/>
              <w:left w:val="nil"/>
              <w:right w:val="nil"/>
            </w:tcBorders>
            <w:shd w:val="clear" w:color="auto" w:fill="auto"/>
            <w:noWrap/>
            <w:vAlign w:val="bottom"/>
            <w:hideMark/>
          </w:tcPr>
          <w:p w14:paraId="63E9D565"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6.3</w:t>
            </w:r>
          </w:p>
        </w:tc>
      </w:tr>
      <w:tr w:rsidR="00A73800" w:rsidRPr="00A73800" w14:paraId="12661FFF" w14:textId="77777777" w:rsidTr="00A73800">
        <w:trPr>
          <w:trHeight w:val="321"/>
        </w:trPr>
        <w:tc>
          <w:tcPr>
            <w:tcW w:w="3402" w:type="dxa"/>
            <w:tcBorders>
              <w:top w:val="nil"/>
              <w:left w:val="nil"/>
              <w:bottom w:val="single" w:sz="4" w:space="0" w:color="auto"/>
              <w:right w:val="nil"/>
            </w:tcBorders>
            <w:shd w:val="clear" w:color="auto" w:fill="auto"/>
            <w:noWrap/>
            <w:vAlign w:val="bottom"/>
            <w:hideMark/>
          </w:tcPr>
          <w:p w14:paraId="1CBDAE5F" w14:textId="27A2A3DE"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Pr>
                <w:rFonts w:ascii="Calibri" w:eastAsia="Times New Roman" w:hAnsi="Calibri" w:cs="Calibri"/>
                <w:color w:val="000000"/>
                <w:kern w:val="0"/>
                <w:lang w:eastAsia="en-CA"/>
                <w14:ligatures w14:val="none"/>
              </w:rPr>
              <w:t xml:space="preserve">3 - </w:t>
            </w:r>
            <w:r w:rsidRPr="00A73800">
              <w:rPr>
                <w:rFonts w:ascii="Calibri" w:eastAsia="Times New Roman" w:hAnsi="Calibri" w:cs="Calibri"/>
                <w:color w:val="000000"/>
                <w:kern w:val="0"/>
                <w:lang w:eastAsia="en-CA"/>
                <w14:ligatures w14:val="none"/>
              </w:rPr>
              <w:t>Collect Feathers Every Year</w:t>
            </w:r>
          </w:p>
        </w:tc>
        <w:tc>
          <w:tcPr>
            <w:tcW w:w="1701" w:type="dxa"/>
            <w:tcBorders>
              <w:top w:val="nil"/>
              <w:left w:val="nil"/>
              <w:bottom w:val="single" w:sz="4" w:space="0" w:color="auto"/>
              <w:right w:val="nil"/>
            </w:tcBorders>
            <w:shd w:val="clear" w:color="auto" w:fill="auto"/>
            <w:noWrap/>
            <w:vAlign w:val="bottom"/>
            <w:hideMark/>
          </w:tcPr>
          <w:p w14:paraId="33D73D11"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-0.026</w:t>
            </w:r>
          </w:p>
        </w:tc>
        <w:tc>
          <w:tcPr>
            <w:tcW w:w="1418" w:type="dxa"/>
            <w:tcBorders>
              <w:top w:val="nil"/>
              <w:left w:val="nil"/>
              <w:bottom w:val="single" w:sz="4" w:space="0" w:color="auto"/>
              <w:right w:val="nil"/>
            </w:tcBorders>
            <w:shd w:val="clear" w:color="auto" w:fill="auto"/>
            <w:noWrap/>
            <w:vAlign w:val="bottom"/>
            <w:hideMark/>
          </w:tcPr>
          <w:p w14:paraId="634E84BF"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0.946</w:t>
            </w:r>
          </w:p>
        </w:tc>
        <w:tc>
          <w:tcPr>
            <w:tcW w:w="1559" w:type="dxa"/>
            <w:tcBorders>
              <w:top w:val="nil"/>
              <w:left w:val="nil"/>
              <w:bottom w:val="single" w:sz="4" w:space="0" w:color="auto"/>
              <w:right w:val="nil"/>
            </w:tcBorders>
            <w:shd w:val="clear" w:color="auto" w:fill="auto"/>
            <w:noWrap/>
            <w:vAlign w:val="bottom"/>
            <w:hideMark/>
          </w:tcPr>
          <w:p w14:paraId="56478FD7"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4.4</w:t>
            </w:r>
          </w:p>
        </w:tc>
      </w:tr>
    </w:tbl>
    <w:p w14:paraId="7A0F671C" w14:textId="77777777" w:rsidR="000C41C5" w:rsidRDefault="000C41C5"/>
    <w:p w14:paraId="16431124" w14:textId="25F54674" w:rsidR="00C2726C" w:rsidRDefault="00C2726C">
      <w:r>
        <w:br w:type="page"/>
      </w:r>
    </w:p>
    <w:p w14:paraId="64D8520E" w14:textId="4F2FD544" w:rsidR="00C2726C" w:rsidRPr="000C41C5" w:rsidRDefault="00C2726C" w:rsidP="00C2726C">
      <w:pPr>
        <w:rPr>
          <w:b/>
          <w:bCs/>
          <w:sz w:val="28"/>
          <w:szCs w:val="28"/>
        </w:rPr>
      </w:pPr>
      <w:r w:rsidRPr="000C41C5">
        <w:rPr>
          <w:b/>
          <w:bCs/>
          <w:sz w:val="28"/>
          <w:szCs w:val="28"/>
        </w:rPr>
        <w:lastRenderedPageBreak/>
        <w:t xml:space="preserve">Appendix </w:t>
      </w:r>
      <w:r>
        <w:rPr>
          <w:b/>
          <w:bCs/>
          <w:sz w:val="28"/>
          <w:szCs w:val="28"/>
        </w:rPr>
        <w:t>6</w:t>
      </w:r>
      <w:r w:rsidRPr="000C41C5">
        <w:rPr>
          <w:b/>
          <w:bCs/>
          <w:sz w:val="28"/>
          <w:szCs w:val="28"/>
        </w:rPr>
        <w:t xml:space="preserve">: </w:t>
      </w:r>
      <w:r>
        <w:rPr>
          <w:b/>
          <w:bCs/>
          <w:sz w:val="28"/>
          <w:szCs w:val="28"/>
        </w:rPr>
        <w:t>Estimates of annual abundance indices regional composition at migration monitoring stations.</w:t>
      </w:r>
    </w:p>
    <w:p w14:paraId="4D9CA8B5" w14:textId="77777777" w:rsidR="00C2726C" w:rsidRDefault="00C2726C"/>
    <w:p w14:paraId="42F28C48" w14:textId="0C8071A8" w:rsidR="00C2726C" w:rsidRDefault="00C2726C">
      <w:r>
        <w:rPr>
          <w:noProof/>
        </w:rPr>
        <w:drawing>
          <wp:inline distT="0" distB="0" distL="0" distR="0" wp14:anchorId="3694E93D" wp14:editId="42E98FCC">
            <wp:extent cx="5943600" cy="5943600"/>
            <wp:effectExtent l="0" t="0" r="0" b="0"/>
            <wp:docPr id="956402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2828" name="Picture 1" descr="A screenshot of a graph&#10;&#10;Description automatically generated"/>
                    <pic:cNvPicPr/>
                  </pic:nvPicPr>
                  <pic:blipFill>
                    <a:blip r:embed="rId16"/>
                    <a:stretch>
                      <a:fillRect/>
                    </a:stretch>
                  </pic:blipFill>
                  <pic:spPr>
                    <a:xfrm>
                      <a:off x="0" y="0"/>
                      <a:ext cx="5943600" cy="5943600"/>
                    </a:xfrm>
                    <a:prstGeom prst="rect">
                      <a:avLst/>
                    </a:prstGeom>
                  </pic:spPr>
                </pic:pic>
              </a:graphicData>
            </a:graphic>
          </wp:inline>
        </w:drawing>
      </w:r>
    </w:p>
    <w:p w14:paraId="088BAA29" w14:textId="5310D6DF" w:rsidR="00C2726C" w:rsidRDefault="00C2726C" w:rsidP="00C2726C">
      <w:pPr>
        <w:pStyle w:val="Caption"/>
        <w:keepNext/>
        <w:rPr>
          <w:color w:val="000000" w:themeColor="text1"/>
          <w:sz w:val="22"/>
          <w:szCs w:val="22"/>
        </w:rPr>
      </w:pPr>
      <w:r>
        <w:rPr>
          <w:b/>
          <w:bCs/>
          <w:color w:val="000000" w:themeColor="text1"/>
          <w:sz w:val="22"/>
          <w:szCs w:val="22"/>
        </w:rPr>
        <w:t>Figure S6.1</w:t>
      </w:r>
      <w:r w:rsidRPr="00A73800">
        <w:rPr>
          <w:b/>
          <w:bCs/>
          <w:color w:val="000000" w:themeColor="text1"/>
          <w:sz w:val="22"/>
          <w:szCs w:val="22"/>
        </w:rPr>
        <w:t>.</w:t>
      </w:r>
      <w:r w:rsidRPr="00A73800">
        <w:rPr>
          <w:color w:val="000000" w:themeColor="text1"/>
          <w:sz w:val="22"/>
          <w:szCs w:val="22"/>
        </w:rPr>
        <w:t xml:space="preserve">  </w:t>
      </w:r>
      <w:r>
        <w:rPr>
          <w:color w:val="000000" w:themeColor="text1"/>
          <w:sz w:val="22"/>
          <w:szCs w:val="22"/>
        </w:rPr>
        <w:t>Annual indices of abundance during pre-breeding migrati</w:t>
      </w:r>
      <w:r w:rsidRPr="00C2726C">
        <w:rPr>
          <w:rFonts w:cstheme="minorHAnsi"/>
          <w:color w:val="000000" w:themeColor="text1"/>
          <w:sz w:val="22"/>
          <w:szCs w:val="22"/>
        </w:rPr>
        <w:t xml:space="preserve">on, calculated as </w:t>
      </w:r>
      <m:oMath>
        <m:sSub>
          <m:sSubPr>
            <m:ctrlPr>
              <w:rPr>
                <w:rFonts w:ascii="Cambria Math" w:hAnsi="Cambria Math" w:cstheme="minorHAnsi"/>
                <w:bCs/>
                <w:color w:val="000000" w:themeColor="text1"/>
                <w:sz w:val="22"/>
                <w:szCs w:val="22"/>
              </w:rPr>
            </m:ctrlPr>
          </m:sSubPr>
          <m:e>
            <m:r>
              <w:rPr>
                <w:rFonts w:ascii="Cambria Math" w:hAnsi="Cambria Math" w:cstheme="minorHAnsi"/>
                <w:color w:val="000000" w:themeColor="text1"/>
                <w:sz w:val="22"/>
                <w:szCs w:val="22"/>
              </w:rPr>
              <m:t>T</m:t>
            </m:r>
          </m:e>
          <m:sub>
            <m:r>
              <w:rPr>
                <w:rFonts w:ascii="Cambria Math" w:hAnsi="Cambria Math" w:cstheme="minorHAnsi"/>
                <w:color w:val="000000" w:themeColor="text1"/>
                <w:sz w:val="22"/>
                <w:szCs w:val="22"/>
              </w:rPr>
              <m:t>s,y</m:t>
            </m:r>
          </m:sub>
        </m:sSub>
        <m:r>
          <w:rPr>
            <w:rFonts w:ascii="Cambria Math" w:hAnsi="Cambria Math" w:cstheme="minorHAnsi"/>
            <w:color w:val="000000" w:themeColor="text1"/>
            <w:sz w:val="22"/>
            <w:szCs w:val="22"/>
          </w:rPr>
          <m:t xml:space="preserve">= </m:t>
        </m:r>
        <m:nary>
          <m:naryPr>
            <m:chr m:val="∑"/>
            <m:limLoc m:val="undOvr"/>
            <m:ctrlPr>
              <w:rPr>
                <w:rFonts w:ascii="Cambria Math" w:hAnsi="Cambria Math" w:cstheme="minorHAnsi"/>
                <w:color w:val="000000" w:themeColor="text1"/>
                <w:sz w:val="22"/>
                <w:szCs w:val="22"/>
              </w:rPr>
            </m:ctrlPr>
          </m:naryPr>
          <m:sub>
            <m:r>
              <w:rPr>
                <w:rFonts w:ascii="Cambria Math" w:hAnsi="Cambria Math" w:cstheme="minorHAnsi"/>
                <w:color w:val="000000" w:themeColor="text1"/>
                <w:sz w:val="22"/>
                <w:szCs w:val="22"/>
              </w:rPr>
              <m:t>1</m:t>
            </m:r>
          </m:sub>
          <m:sup>
            <m:r>
              <w:rPr>
                <w:rFonts w:ascii="Cambria Math" w:hAnsi="Cambria Math" w:cstheme="minorHAnsi"/>
                <w:color w:val="000000" w:themeColor="text1"/>
                <w:sz w:val="22"/>
                <w:szCs w:val="22"/>
              </w:rPr>
              <m:t>J</m:t>
            </m:r>
          </m:sup>
          <m:e>
            <m:sSub>
              <m:sSubPr>
                <m:ctrlPr>
                  <w:rPr>
                    <w:rFonts w:ascii="Cambria Math" w:hAnsi="Cambria Math" w:cstheme="minorHAnsi"/>
                    <w:bCs/>
                    <w:color w:val="000000" w:themeColor="text1"/>
                    <w:sz w:val="22"/>
                    <w:szCs w:val="22"/>
                  </w:rPr>
                </m:ctrlPr>
              </m:sSubPr>
              <m:e>
                <m:r>
                  <w:rPr>
                    <w:rFonts w:ascii="Cambria Math" w:hAnsi="Cambria Math" w:cstheme="minorHAnsi"/>
                    <w:color w:val="000000" w:themeColor="text1"/>
                    <w:sz w:val="22"/>
                    <w:szCs w:val="22"/>
                  </w:rPr>
                  <m:t>M</m:t>
                </m:r>
              </m:e>
              <m:sub>
                <m:r>
                  <w:rPr>
                    <w:rFonts w:ascii="Cambria Math" w:hAnsi="Cambria Math" w:cstheme="minorHAnsi"/>
                    <w:color w:val="000000" w:themeColor="text1"/>
                    <w:sz w:val="22"/>
                    <w:szCs w:val="22"/>
                  </w:rPr>
                  <m:t>j,s,y</m:t>
                </m:r>
              </m:sub>
            </m:sSub>
          </m:e>
        </m:nary>
        <m:r>
          <w:rPr>
            <w:rFonts w:ascii="Cambria Math" w:hAnsi="Cambria Math" w:cstheme="minorHAnsi"/>
            <w:color w:val="000000" w:themeColor="text1"/>
            <w:sz w:val="22"/>
            <w:szCs w:val="22"/>
          </w:rPr>
          <m:t xml:space="preserve">× </m:t>
        </m:r>
        <m:sSub>
          <m:sSubPr>
            <m:ctrlPr>
              <w:rPr>
                <w:rFonts w:ascii="Cambria Math" w:hAnsi="Cambria Math" w:cstheme="minorHAnsi"/>
                <w:color w:val="000000" w:themeColor="text1"/>
                <w:sz w:val="22"/>
                <w:szCs w:val="22"/>
              </w:rPr>
            </m:ctrlPr>
          </m:sSubPr>
          <m:e>
            <m:r>
              <w:rPr>
                <w:rFonts w:ascii="Cambria Math" w:hAnsi="Cambria Math" w:cstheme="minorHAnsi"/>
                <w:color w:val="000000" w:themeColor="text1"/>
                <w:sz w:val="22"/>
                <w:szCs w:val="22"/>
              </w:rPr>
              <m:t>ε</m:t>
            </m:r>
          </m:e>
          <m:sub>
            <m:r>
              <w:rPr>
                <w:rFonts w:ascii="Cambria Math" w:hAnsi="Cambria Math" w:cstheme="minorHAnsi"/>
                <w:color w:val="000000" w:themeColor="text1"/>
                <w:sz w:val="22"/>
                <w:szCs w:val="22"/>
              </w:rPr>
              <m:t>s,y</m:t>
            </m:r>
          </m:sub>
        </m:sSub>
      </m:oMath>
      <w:r>
        <w:rPr>
          <w:rFonts w:eastAsiaTheme="minorEastAsia" w:cstheme="minorHAnsi"/>
          <w:color w:val="000000" w:themeColor="text1"/>
          <w:sz w:val="22"/>
          <w:szCs w:val="22"/>
        </w:rPr>
        <w:t xml:space="preserve"> using equation 3 in main text.</w:t>
      </w:r>
      <w:r w:rsidRPr="00C2726C">
        <w:rPr>
          <w:rFonts w:cstheme="minorHAnsi"/>
          <w:color w:val="000000" w:themeColor="text1"/>
          <w:sz w:val="22"/>
          <w:szCs w:val="22"/>
        </w:rPr>
        <w:t xml:space="preserve">  </w:t>
      </w:r>
      <w:r>
        <w:rPr>
          <w:color w:val="000000" w:themeColor="text1"/>
          <w:sz w:val="22"/>
          <w:szCs w:val="22"/>
        </w:rPr>
        <w:t>Error bars are 95% equal-tailed credible intervals. Median estimates of regional composition are shown by bars.  Note that there is considerable uncertainty in estimates of annual station-level regional composition, which are not depicted in this figure.</w:t>
      </w:r>
    </w:p>
    <w:p w14:paraId="5B9570D4" w14:textId="77777777" w:rsidR="00C2726C" w:rsidRDefault="00C2726C" w:rsidP="00C2726C">
      <w:pPr>
        <w:rPr>
          <w:lang w:val="en-US"/>
        </w:rPr>
      </w:pPr>
    </w:p>
    <w:p w14:paraId="3EA724EF" w14:textId="7DFFE0CB" w:rsidR="00C2726C" w:rsidRDefault="00C2726C" w:rsidP="00C2726C">
      <w:pPr>
        <w:pStyle w:val="Caption"/>
        <w:keepNext/>
        <w:rPr>
          <w:b/>
          <w:bCs/>
          <w:color w:val="000000" w:themeColor="text1"/>
          <w:sz w:val="22"/>
          <w:szCs w:val="22"/>
        </w:rPr>
      </w:pPr>
      <w:r>
        <w:rPr>
          <w:noProof/>
        </w:rPr>
        <w:lastRenderedPageBreak/>
        <w:drawing>
          <wp:inline distT="0" distB="0" distL="0" distR="0" wp14:anchorId="5C5FC26E" wp14:editId="0BADBD3A">
            <wp:extent cx="5943600" cy="5943600"/>
            <wp:effectExtent l="0" t="0" r="0" b="0"/>
            <wp:docPr id="20576652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5273" name="Picture 1" descr="A screenshot of a graph&#10;&#10;Description automatically generated"/>
                    <pic:cNvPicPr/>
                  </pic:nvPicPr>
                  <pic:blipFill>
                    <a:blip r:embed="rId17"/>
                    <a:stretch>
                      <a:fillRect/>
                    </a:stretch>
                  </pic:blipFill>
                  <pic:spPr>
                    <a:xfrm>
                      <a:off x="0" y="0"/>
                      <a:ext cx="5943600" cy="5943600"/>
                    </a:xfrm>
                    <a:prstGeom prst="rect">
                      <a:avLst/>
                    </a:prstGeom>
                  </pic:spPr>
                </pic:pic>
              </a:graphicData>
            </a:graphic>
          </wp:inline>
        </w:drawing>
      </w:r>
    </w:p>
    <w:p w14:paraId="48E80C3A" w14:textId="19F7488E" w:rsidR="00C2726C" w:rsidRDefault="00C2726C" w:rsidP="00C2726C">
      <w:pPr>
        <w:pStyle w:val="Caption"/>
        <w:keepNext/>
      </w:pPr>
      <w:r>
        <w:rPr>
          <w:b/>
          <w:bCs/>
          <w:color w:val="000000" w:themeColor="text1"/>
          <w:sz w:val="22"/>
          <w:szCs w:val="22"/>
        </w:rPr>
        <w:t>Figure S6.</w:t>
      </w:r>
      <w:r>
        <w:rPr>
          <w:b/>
          <w:bCs/>
          <w:color w:val="000000" w:themeColor="text1"/>
          <w:sz w:val="22"/>
          <w:szCs w:val="22"/>
        </w:rPr>
        <w:t>2</w:t>
      </w:r>
      <w:r w:rsidRPr="00A73800">
        <w:rPr>
          <w:b/>
          <w:bCs/>
          <w:color w:val="000000" w:themeColor="text1"/>
          <w:sz w:val="22"/>
          <w:szCs w:val="22"/>
        </w:rPr>
        <w:t>.</w:t>
      </w:r>
      <w:r w:rsidRPr="00A73800">
        <w:rPr>
          <w:color w:val="000000" w:themeColor="text1"/>
          <w:sz w:val="22"/>
          <w:szCs w:val="22"/>
        </w:rPr>
        <w:t xml:space="preserve">  </w:t>
      </w:r>
      <w:r>
        <w:rPr>
          <w:color w:val="000000" w:themeColor="text1"/>
          <w:sz w:val="22"/>
          <w:szCs w:val="22"/>
        </w:rPr>
        <w:t>Annual indices of abundance during p</w:t>
      </w:r>
      <w:r>
        <w:rPr>
          <w:color w:val="000000" w:themeColor="text1"/>
          <w:sz w:val="22"/>
          <w:szCs w:val="22"/>
        </w:rPr>
        <w:t>ost</w:t>
      </w:r>
      <w:r>
        <w:rPr>
          <w:color w:val="000000" w:themeColor="text1"/>
          <w:sz w:val="22"/>
          <w:szCs w:val="22"/>
        </w:rPr>
        <w:t>-breeding migrati</w:t>
      </w:r>
      <w:r w:rsidRPr="00C2726C">
        <w:rPr>
          <w:rFonts w:cstheme="minorHAnsi"/>
          <w:color w:val="000000" w:themeColor="text1"/>
          <w:sz w:val="22"/>
          <w:szCs w:val="22"/>
        </w:rPr>
        <w:t xml:space="preserve">on, calculated as </w:t>
      </w:r>
      <m:oMath>
        <m:sSub>
          <m:sSubPr>
            <m:ctrlPr>
              <w:rPr>
                <w:rFonts w:ascii="Cambria Math" w:hAnsi="Cambria Math" w:cstheme="minorHAnsi"/>
                <w:bCs/>
                <w:color w:val="000000" w:themeColor="text1"/>
                <w:sz w:val="22"/>
                <w:szCs w:val="22"/>
              </w:rPr>
            </m:ctrlPr>
          </m:sSubPr>
          <m:e>
            <m:r>
              <w:rPr>
                <w:rFonts w:ascii="Cambria Math" w:hAnsi="Cambria Math" w:cstheme="minorHAnsi"/>
                <w:color w:val="000000" w:themeColor="text1"/>
                <w:sz w:val="22"/>
                <w:szCs w:val="22"/>
              </w:rPr>
              <m:t>T</m:t>
            </m:r>
          </m:e>
          <m:sub>
            <m:r>
              <w:rPr>
                <w:rFonts w:ascii="Cambria Math" w:hAnsi="Cambria Math" w:cstheme="minorHAnsi"/>
                <w:color w:val="000000" w:themeColor="text1"/>
                <w:sz w:val="22"/>
                <w:szCs w:val="22"/>
              </w:rPr>
              <m:t>s,y</m:t>
            </m:r>
          </m:sub>
        </m:sSub>
        <m:r>
          <w:rPr>
            <w:rFonts w:ascii="Cambria Math" w:hAnsi="Cambria Math" w:cstheme="minorHAnsi"/>
            <w:color w:val="000000" w:themeColor="text1"/>
            <w:sz w:val="22"/>
            <w:szCs w:val="22"/>
          </w:rPr>
          <m:t xml:space="preserve">= </m:t>
        </m:r>
        <m:nary>
          <m:naryPr>
            <m:chr m:val="∑"/>
            <m:limLoc m:val="undOvr"/>
            <m:ctrlPr>
              <w:rPr>
                <w:rFonts w:ascii="Cambria Math" w:hAnsi="Cambria Math" w:cstheme="minorHAnsi"/>
                <w:color w:val="000000" w:themeColor="text1"/>
                <w:sz w:val="22"/>
                <w:szCs w:val="22"/>
              </w:rPr>
            </m:ctrlPr>
          </m:naryPr>
          <m:sub>
            <m:r>
              <w:rPr>
                <w:rFonts w:ascii="Cambria Math" w:hAnsi="Cambria Math" w:cstheme="minorHAnsi"/>
                <w:color w:val="000000" w:themeColor="text1"/>
                <w:sz w:val="22"/>
                <w:szCs w:val="22"/>
              </w:rPr>
              <m:t>1</m:t>
            </m:r>
          </m:sub>
          <m:sup>
            <m:r>
              <w:rPr>
                <w:rFonts w:ascii="Cambria Math" w:hAnsi="Cambria Math" w:cstheme="minorHAnsi"/>
                <w:color w:val="000000" w:themeColor="text1"/>
                <w:sz w:val="22"/>
                <w:szCs w:val="22"/>
              </w:rPr>
              <m:t>J</m:t>
            </m:r>
          </m:sup>
          <m:e>
            <m:sSub>
              <m:sSubPr>
                <m:ctrlPr>
                  <w:rPr>
                    <w:rFonts w:ascii="Cambria Math" w:hAnsi="Cambria Math" w:cstheme="minorHAnsi"/>
                    <w:bCs/>
                    <w:color w:val="000000" w:themeColor="text1"/>
                    <w:sz w:val="22"/>
                    <w:szCs w:val="22"/>
                  </w:rPr>
                </m:ctrlPr>
              </m:sSubPr>
              <m:e>
                <m:r>
                  <w:rPr>
                    <w:rFonts w:ascii="Cambria Math" w:hAnsi="Cambria Math" w:cstheme="minorHAnsi"/>
                    <w:color w:val="000000" w:themeColor="text1"/>
                    <w:sz w:val="22"/>
                    <w:szCs w:val="22"/>
                  </w:rPr>
                  <m:t>M</m:t>
                </m:r>
              </m:e>
              <m:sub>
                <m:r>
                  <w:rPr>
                    <w:rFonts w:ascii="Cambria Math" w:hAnsi="Cambria Math" w:cstheme="minorHAnsi"/>
                    <w:color w:val="000000" w:themeColor="text1"/>
                    <w:sz w:val="22"/>
                    <w:szCs w:val="22"/>
                  </w:rPr>
                  <m:t>j,s,y</m:t>
                </m:r>
              </m:sub>
            </m:sSub>
          </m:e>
        </m:nary>
        <m:r>
          <w:rPr>
            <w:rFonts w:ascii="Cambria Math" w:hAnsi="Cambria Math" w:cstheme="minorHAnsi"/>
            <w:color w:val="000000" w:themeColor="text1"/>
            <w:sz w:val="22"/>
            <w:szCs w:val="22"/>
          </w:rPr>
          <m:t xml:space="preserve">× </m:t>
        </m:r>
        <m:sSub>
          <m:sSubPr>
            <m:ctrlPr>
              <w:rPr>
                <w:rFonts w:ascii="Cambria Math" w:hAnsi="Cambria Math" w:cstheme="minorHAnsi"/>
                <w:color w:val="000000" w:themeColor="text1"/>
                <w:sz w:val="22"/>
                <w:szCs w:val="22"/>
              </w:rPr>
            </m:ctrlPr>
          </m:sSubPr>
          <m:e>
            <m:r>
              <w:rPr>
                <w:rFonts w:ascii="Cambria Math" w:hAnsi="Cambria Math" w:cstheme="minorHAnsi"/>
                <w:color w:val="000000" w:themeColor="text1"/>
                <w:sz w:val="22"/>
                <w:szCs w:val="22"/>
              </w:rPr>
              <m:t>ε</m:t>
            </m:r>
          </m:e>
          <m:sub>
            <m:r>
              <w:rPr>
                <w:rFonts w:ascii="Cambria Math" w:hAnsi="Cambria Math" w:cstheme="minorHAnsi"/>
                <w:color w:val="000000" w:themeColor="text1"/>
                <w:sz w:val="22"/>
                <w:szCs w:val="22"/>
              </w:rPr>
              <m:t>s,y</m:t>
            </m:r>
          </m:sub>
        </m:sSub>
      </m:oMath>
      <w:r>
        <w:rPr>
          <w:rFonts w:eastAsiaTheme="minorEastAsia" w:cstheme="minorHAnsi"/>
          <w:color w:val="000000" w:themeColor="text1"/>
          <w:sz w:val="22"/>
          <w:szCs w:val="22"/>
        </w:rPr>
        <w:t xml:space="preserve"> using equation 3 in main text.</w:t>
      </w:r>
      <w:r w:rsidRPr="00C2726C">
        <w:rPr>
          <w:rFonts w:cstheme="minorHAnsi"/>
          <w:color w:val="000000" w:themeColor="text1"/>
          <w:sz w:val="22"/>
          <w:szCs w:val="22"/>
        </w:rPr>
        <w:t xml:space="preserve">  </w:t>
      </w:r>
      <w:r>
        <w:rPr>
          <w:color w:val="000000" w:themeColor="text1"/>
          <w:sz w:val="22"/>
          <w:szCs w:val="22"/>
        </w:rPr>
        <w:t>Error bars are 95% equal-tailed credible intervals. Median estimates of regional composition are shown by bars.  Note that there is considerable uncertainty in estimates of annual station-level regional composition, which are not depicted in this figure.</w:t>
      </w:r>
    </w:p>
    <w:p w14:paraId="659CBC13" w14:textId="77777777" w:rsidR="00C2726C" w:rsidRPr="00C2726C" w:rsidRDefault="00C2726C" w:rsidP="00C2726C">
      <w:pPr>
        <w:rPr>
          <w:lang w:val="en-US"/>
        </w:rPr>
      </w:pPr>
    </w:p>
    <w:sectPr w:rsidR="00C2726C" w:rsidRPr="00C2726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1C5"/>
    <w:rsid w:val="00095EC8"/>
    <w:rsid w:val="000A5D09"/>
    <w:rsid w:val="000C41C5"/>
    <w:rsid w:val="0012734E"/>
    <w:rsid w:val="00202572"/>
    <w:rsid w:val="0029708F"/>
    <w:rsid w:val="002B1D88"/>
    <w:rsid w:val="00463333"/>
    <w:rsid w:val="00526FF2"/>
    <w:rsid w:val="00611CDF"/>
    <w:rsid w:val="00666E84"/>
    <w:rsid w:val="00673C67"/>
    <w:rsid w:val="00705DDC"/>
    <w:rsid w:val="008A3529"/>
    <w:rsid w:val="009160E3"/>
    <w:rsid w:val="00962316"/>
    <w:rsid w:val="00A73800"/>
    <w:rsid w:val="00B77EC2"/>
    <w:rsid w:val="00BA2B47"/>
    <w:rsid w:val="00BA5211"/>
    <w:rsid w:val="00BC0CD1"/>
    <w:rsid w:val="00C116E4"/>
    <w:rsid w:val="00C2726C"/>
    <w:rsid w:val="00C9407F"/>
    <w:rsid w:val="00E33F2A"/>
    <w:rsid w:val="00F63FD8"/>
    <w:rsid w:val="00FC523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728DE"/>
  <w15:chartTrackingRefBased/>
  <w15:docId w15:val="{5A29B675-F7BF-4FE8-A806-26B31C423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C41C5"/>
    <w:pPr>
      <w:spacing w:after="200" w:line="240" w:lineRule="auto"/>
    </w:pPr>
    <w:rPr>
      <w:i/>
      <w:iCs/>
      <w:color w:val="44546A" w:themeColor="text2"/>
      <w:kern w:val="0"/>
      <w:sz w:val="18"/>
      <w:szCs w:val="18"/>
      <w:lang w:val="en-US"/>
      <w14:ligatures w14:val="none"/>
    </w:rPr>
  </w:style>
  <w:style w:type="table" w:styleId="TableGrid">
    <w:name w:val="Table Grid"/>
    <w:basedOn w:val="TableNormal"/>
    <w:uiPriority w:val="39"/>
    <w:rsid w:val="000C41C5"/>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273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001846">
      <w:bodyDiv w:val="1"/>
      <w:marLeft w:val="0"/>
      <w:marRight w:val="0"/>
      <w:marTop w:val="0"/>
      <w:marBottom w:val="0"/>
      <w:divBdr>
        <w:top w:val="none" w:sz="0" w:space="0" w:color="auto"/>
        <w:left w:val="none" w:sz="0" w:space="0" w:color="auto"/>
        <w:bottom w:val="none" w:sz="0" w:space="0" w:color="auto"/>
        <w:right w:val="none" w:sz="0" w:space="0" w:color="auto"/>
      </w:divBdr>
    </w:div>
    <w:div w:id="157577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1184</TotalTime>
  <Pages>15</Pages>
  <Words>1854</Words>
  <Characters>10568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Iles</dc:creator>
  <cp:keywords/>
  <dc:description/>
  <cp:lastModifiedBy>Dave Iles</cp:lastModifiedBy>
  <cp:revision>10</cp:revision>
  <dcterms:created xsi:type="dcterms:W3CDTF">2023-09-25T18:06:00Z</dcterms:created>
  <dcterms:modified xsi:type="dcterms:W3CDTF">2023-10-09T21:56:00Z</dcterms:modified>
</cp:coreProperties>
</file>